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AE3" w:rsidRDefault="00D00AE3" w:rsidP="00D00AE3">
      <w:pPr>
        <w:pStyle w:val="a4"/>
        <w:jc w:val="center"/>
        <w:rPr>
          <w:rFonts w:cs="FrankRuehl"/>
          <w:noProof w:val="0"/>
          <w:sz w:val="28"/>
          <w:szCs w:val="28"/>
          <w:rtl/>
        </w:rPr>
      </w:pPr>
      <w:r>
        <w:rPr>
          <w:rFonts w:cs="FrankRuehl"/>
          <w:sz w:val="28"/>
          <w:szCs w:val="28"/>
        </w:rPr>
        <w:drawing>
          <wp:inline distT="0" distB="0" distL="0" distR="0" wp14:anchorId="7C6D9A36" wp14:editId="13C1FB4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D00AE3" w:rsidTr="00E759C4">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D00AE3" w:rsidRPr="00F038D8" w:rsidRDefault="00D00AE3" w:rsidP="00E759C4">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D00AE3" w:rsidTr="00E759C4">
        <w:trPr>
          <w:trHeight w:val="337"/>
          <w:jc w:val="center"/>
        </w:trPr>
        <w:tc>
          <w:tcPr>
            <w:tcW w:w="5047" w:type="dxa"/>
          </w:tcPr>
          <w:p w:rsidR="00D00AE3" w:rsidRDefault="00D00AE3" w:rsidP="00E759C4">
            <w:pPr>
              <w:rPr>
                <w:b/>
                <w:bCs/>
                <w:noProof w:val="0"/>
                <w:sz w:val="26"/>
                <w:szCs w:val="26"/>
                <w:rtl/>
              </w:rPr>
            </w:pPr>
          </w:p>
        </w:tc>
        <w:tc>
          <w:tcPr>
            <w:tcW w:w="3674" w:type="dxa"/>
          </w:tcPr>
          <w:p w:rsidR="00D00AE3" w:rsidRDefault="00D00AE3" w:rsidP="00E759C4">
            <w:pPr>
              <w:pStyle w:val="a4"/>
              <w:jc w:val="right"/>
              <w:rPr>
                <w:b/>
                <w:bCs/>
                <w:noProof w:val="0"/>
                <w:sz w:val="26"/>
                <w:szCs w:val="26"/>
                <w:rtl/>
              </w:rPr>
            </w:pPr>
          </w:p>
        </w:tc>
      </w:tr>
      <w:tr w:rsidR="00D00AE3" w:rsidTr="00E759C4">
        <w:trPr>
          <w:trHeight w:val="337"/>
          <w:jc w:val="center"/>
        </w:trPr>
        <w:tc>
          <w:tcPr>
            <w:tcW w:w="8721" w:type="dxa"/>
            <w:gridSpan w:val="2"/>
          </w:tcPr>
          <w:p w:rsidR="00D00AE3" w:rsidRDefault="00D00AE3" w:rsidP="00F8243E">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45717-04-23 </w:t>
            </w:r>
            <w:bookmarkEnd w:id="0"/>
            <w:r>
              <w:rPr>
                <w:b/>
                <w:bCs/>
                <w:noProof w:val="0"/>
                <w:sz w:val="26"/>
                <w:szCs w:val="26"/>
                <w:rtl/>
              </w:rPr>
              <w:t>ק</w:t>
            </w:r>
            <w:r w:rsidR="00F8243E">
              <w:rPr>
                <w:rFonts w:hint="cs"/>
                <w:b/>
                <w:bCs/>
                <w:noProof w:val="0"/>
                <w:sz w:val="26"/>
                <w:szCs w:val="26"/>
                <w:rtl/>
              </w:rPr>
              <w:t>.</w:t>
            </w:r>
            <w:r>
              <w:rPr>
                <w:b/>
                <w:bCs/>
                <w:noProof w:val="0"/>
                <w:sz w:val="26"/>
                <w:szCs w:val="26"/>
                <w:rtl/>
              </w:rPr>
              <w:t>נ' ק</w:t>
            </w:r>
            <w:r w:rsidR="00F8243E">
              <w:rPr>
                <w:rFonts w:hint="cs"/>
                <w:b/>
                <w:bCs/>
                <w:noProof w:val="0"/>
                <w:sz w:val="26"/>
                <w:szCs w:val="26"/>
                <w:rtl/>
              </w:rPr>
              <w:t>.</w:t>
            </w:r>
          </w:p>
          <w:p w:rsidR="00D00AE3" w:rsidRPr="007B7765" w:rsidRDefault="00D00AE3" w:rsidP="00E759C4">
            <w:pPr>
              <w:rPr>
                <w:b/>
                <w:bCs/>
                <w:noProof w:val="0"/>
                <w:sz w:val="2"/>
                <w:szCs w:val="2"/>
                <w:rtl/>
              </w:rPr>
            </w:pPr>
          </w:p>
          <w:p w:rsidR="00D00AE3" w:rsidRDefault="00D00AE3" w:rsidP="00E759C4">
            <w:pPr>
              <w:rPr>
                <w:sz w:val="20"/>
                <w:szCs w:val="20"/>
                <w:rtl/>
              </w:rPr>
            </w:pPr>
            <w:r>
              <w:rPr>
                <w:rFonts w:hint="cs"/>
                <w:rtl/>
              </w:rPr>
              <w:t xml:space="preserve">                           </w:t>
            </w:r>
            <w:r>
              <w:rPr>
                <w:rFonts w:hint="cs"/>
                <w:sz w:val="20"/>
                <w:szCs w:val="20"/>
                <w:rtl/>
              </w:rPr>
              <w:t xml:space="preserve">                                       </w:t>
            </w:r>
          </w:p>
          <w:p w:rsidR="00D00AE3" w:rsidRPr="00E1068A" w:rsidRDefault="00D00AE3" w:rsidP="00E759C4">
            <w:pPr>
              <w:rPr>
                <w:sz w:val="20"/>
                <w:szCs w:val="20"/>
                <w:rtl/>
              </w:rPr>
            </w:pPr>
          </w:p>
        </w:tc>
      </w:tr>
    </w:tbl>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00AE3" w:rsidTr="00E759C4">
        <w:trPr>
          <w:trHeight w:val="295"/>
          <w:jc w:val="center"/>
        </w:trPr>
        <w:tc>
          <w:tcPr>
            <w:tcW w:w="5049" w:type="dxa"/>
            <w:gridSpan w:val="3"/>
          </w:tcPr>
          <w:p w:rsidR="00D00AE3" w:rsidRDefault="00D00AE3" w:rsidP="00E759C4">
            <w:pPr>
              <w:suppressLineNumbers/>
              <w:rPr>
                <w:rFonts w:ascii="Arial" w:hAnsi="Arial"/>
                <w:b/>
                <w:bCs/>
                <w:noProof w:val="0"/>
                <w:sz w:val="26"/>
                <w:szCs w:val="26"/>
                <w:rtl/>
              </w:rPr>
            </w:pPr>
          </w:p>
        </w:tc>
        <w:tc>
          <w:tcPr>
            <w:tcW w:w="3771" w:type="dxa"/>
          </w:tcPr>
          <w:p w:rsidR="00D00AE3" w:rsidRDefault="00D00AE3" w:rsidP="00E759C4">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D00AE3" w:rsidTr="00E759C4">
        <w:trPr>
          <w:jc w:val="center"/>
        </w:trPr>
        <w:tc>
          <w:tcPr>
            <w:tcW w:w="743" w:type="dxa"/>
          </w:tcPr>
          <w:p w:rsidR="00D00AE3" w:rsidRPr="00364FB3" w:rsidRDefault="00D00AE3" w:rsidP="00E759C4">
            <w:pPr>
              <w:suppressLineNumbers/>
              <w:jc w:val="both"/>
              <w:rPr>
                <w:rFonts w:ascii="Arial" w:hAnsi="Arial"/>
                <w:b/>
                <w:bCs/>
                <w:sz w:val="26"/>
                <w:szCs w:val="26"/>
                <w:rtl/>
              </w:rPr>
            </w:pPr>
            <w:r w:rsidRPr="00364FB3">
              <w:rPr>
                <w:rFonts w:ascii="Arial" w:hAnsi="Arial" w:hint="cs"/>
                <w:b/>
                <w:bCs/>
                <w:sz w:val="26"/>
                <w:szCs w:val="26"/>
                <w:rtl/>
              </w:rPr>
              <w:t>ב</w:t>
            </w:r>
            <w:r w:rsidRPr="00364FB3">
              <w:rPr>
                <w:rFonts w:ascii="Arial" w:hAnsi="Arial"/>
                <w:b/>
                <w:bCs/>
                <w:sz w:val="26"/>
                <w:szCs w:val="26"/>
                <w:rtl/>
              </w:rPr>
              <w:t xml:space="preserve">פני </w:t>
            </w:r>
          </w:p>
        </w:tc>
        <w:tc>
          <w:tcPr>
            <w:tcW w:w="8077" w:type="dxa"/>
            <w:gridSpan w:val="3"/>
          </w:tcPr>
          <w:p w:rsidR="00D00AE3" w:rsidRPr="00364FB3" w:rsidRDefault="00D00AE3" w:rsidP="00E759C4">
            <w:pPr>
              <w:suppressLineNumbers/>
              <w:rPr>
                <w:rFonts w:ascii="Arial" w:hAnsi="Arial" w:cs="FrankRuehl"/>
                <w:sz w:val="26"/>
                <w:szCs w:val="26"/>
                <w:highlight w:val="yellow"/>
              </w:rPr>
            </w:pPr>
            <w:r w:rsidRPr="00364FB3">
              <w:rPr>
                <w:rFonts w:ascii="Arial" w:hAnsi="Arial" w:hint="cs"/>
                <w:b/>
                <w:bCs/>
                <w:sz w:val="26"/>
                <w:szCs w:val="26"/>
                <w:rtl/>
              </w:rPr>
              <w:t>כב' השופט מרדכי (מוטי) לוי, סגן נשיא</w:t>
            </w:r>
          </w:p>
        </w:tc>
      </w:tr>
      <w:tr w:rsidR="00D00AE3" w:rsidTr="00E759C4">
        <w:trPr>
          <w:jc w:val="center"/>
        </w:trPr>
        <w:tc>
          <w:tcPr>
            <w:tcW w:w="3249" w:type="dxa"/>
            <w:gridSpan w:val="2"/>
          </w:tcPr>
          <w:p w:rsidR="00D00AE3" w:rsidRDefault="00D00AE3" w:rsidP="00E759C4">
            <w:pPr>
              <w:suppressLineNumbers/>
              <w:rPr>
                <w:rFonts w:ascii="Arial" w:hAnsi="Arial"/>
                <w:b/>
                <w:bCs/>
                <w:noProof w:val="0"/>
                <w:sz w:val="26"/>
                <w:szCs w:val="26"/>
              </w:rPr>
            </w:pPr>
          </w:p>
          <w:p w:rsidR="00D00AE3" w:rsidRDefault="00D00AE3" w:rsidP="00E759C4">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D00AE3" w:rsidRDefault="00D00AE3" w:rsidP="00E759C4">
            <w:pPr>
              <w:suppressLineNumbers/>
              <w:rPr>
                <w:rFonts w:ascii="Arial" w:hAnsi="Arial"/>
                <w:b/>
                <w:bCs/>
                <w:noProof w:val="0"/>
                <w:sz w:val="26"/>
                <w:szCs w:val="26"/>
                <w:rtl/>
              </w:rPr>
            </w:pPr>
          </w:p>
          <w:p w:rsidR="00D00AE3" w:rsidRDefault="00D00AE3" w:rsidP="00F8243E">
            <w:pPr>
              <w:suppressLineNumbers/>
              <w:rPr>
                <w:b/>
                <w:bCs/>
                <w:noProof w:val="0"/>
                <w:sz w:val="26"/>
                <w:szCs w:val="26"/>
                <w:rtl/>
              </w:rPr>
            </w:pPr>
            <w:r>
              <w:rPr>
                <w:rFonts w:ascii="Arial" w:hAnsi="Arial"/>
                <w:b/>
                <w:bCs/>
                <w:noProof w:val="0"/>
                <w:sz w:val="26"/>
                <w:szCs w:val="26"/>
                <w:rtl/>
              </w:rPr>
              <w:t>ל</w:t>
            </w:r>
            <w:r w:rsidR="00F8243E">
              <w:rPr>
                <w:rFonts w:ascii="Arial" w:hAnsi="Arial" w:hint="cs"/>
                <w:b/>
                <w:bCs/>
                <w:noProof w:val="0"/>
                <w:sz w:val="26"/>
                <w:szCs w:val="26"/>
                <w:rtl/>
              </w:rPr>
              <w:t>.</w:t>
            </w:r>
            <w:r>
              <w:rPr>
                <w:rFonts w:ascii="Arial" w:hAnsi="Arial"/>
                <w:b/>
                <w:bCs/>
                <w:noProof w:val="0"/>
                <w:sz w:val="26"/>
                <w:szCs w:val="26"/>
                <w:rtl/>
              </w:rPr>
              <w:t>ק</w:t>
            </w:r>
            <w:r w:rsidR="00F8243E">
              <w:rPr>
                <w:rFonts w:ascii="Arial" w:hAnsi="Arial" w:hint="cs"/>
                <w:b/>
                <w:bCs/>
                <w:noProof w:val="0"/>
                <w:sz w:val="26"/>
                <w:szCs w:val="26"/>
                <w:rtl/>
              </w:rPr>
              <w:t>.</w:t>
            </w:r>
          </w:p>
          <w:p w:rsidR="00D00AE3" w:rsidRPr="00364FB3" w:rsidRDefault="00D00AE3" w:rsidP="00E759C4">
            <w:pPr>
              <w:suppressLineNumbers/>
              <w:rPr>
                <w:noProof w:val="0"/>
              </w:rPr>
            </w:pPr>
            <w:r>
              <w:rPr>
                <w:rFonts w:hint="cs"/>
                <w:noProof w:val="0"/>
                <w:rtl/>
              </w:rPr>
              <w:t xml:space="preserve">מיוצגת ע"י עו"ד איילת </w:t>
            </w:r>
            <w:proofErr w:type="spellStart"/>
            <w:r>
              <w:rPr>
                <w:rFonts w:hint="cs"/>
                <w:noProof w:val="0"/>
                <w:rtl/>
              </w:rPr>
              <w:t>קריספל</w:t>
            </w:r>
            <w:proofErr w:type="spellEnd"/>
          </w:p>
        </w:tc>
      </w:tr>
      <w:tr w:rsidR="00D00AE3" w:rsidTr="00E759C4">
        <w:trPr>
          <w:jc w:val="center"/>
        </w:trPr>
        <w:tc>
          <w:tcPr>
            <w:tcW w:w="8820" w:type="dxa"/>
            <w:gridSpan w:val="4"/>
          </w:tcPr>
          <w:p w:rsidR="00D00AE3" w:rsidRDefault="00D00AE3" w:rsidP="00E759C4">
            <w:pPr>
              <w:suppressLineNumbers/>
              <w:rPr>
                <w:rFonts w:ascii="Arial" w:hAnsi="Arial"/>
                <w:b/>
                <w:bCs/>
                <w:noProof w:val="0"/>
                <w:sz w:val="26"/>
                <w:szCs w:val="26"/>
                <w:rtl/>
              </w:rPr>
            </w:pPr>
          </w:p>
          <w:p w:rsidR="00D00AE3" w:rsidRDefault="00D00AE3" w:rsidP="00E759C4">
            <w:pPr>
              <w:suppressLineNumbers/>
              <w:jc w:val="center"/>
              <w:rPr>
                <w:rFonts w:ascii="Arial" w:hAnsi="Arial"/>
                <w:b/>
                <w:bCs/>
                <w:noProof w:val="0"/>
                <w:sz w:val="26"/>
                <w:szCs w:val="26"/>
              </w:rPr>
            </w:pPr>
            <w:r>
              <w:rPr>
                <w:rFonts w:ascii="Arial" w:hAnsi="Arial"/>
                <w:b/>
                <w:bCs/>
                <w:noProof w:val="0"/>
                <w:sz w:val="26"/>
                <w:szCs w:val="26"/>
                <w:rtl/>
              </w:rPr>
              <w:t>נגד</w:t>
            </w:r>
          </w:p>
        </w:tc>
      </w:tr>
      <w:tr w:rsidR="00D00AE3" w:rsidTr="00E759C4">
        <w:trPr>
          <w:jc w:val="center"/>
        </w:trPr>
        <w:tc>
          <w:tcPr>
            <w:tcW w:w="3249" w:type="dxa"/>
            <w:gridSpan w:val="2"/>
          </w:tcPr>
          <w:p w:rsidR="00D00AE3" w:rsidRDefault="00D00AE3" w:rsidP="00E759C4">
            <w:pPr>
              <w:suppressLineNumbers/>
              <w:rPr>
                <w:rFonts w:ascii="Arial" w:hAnsi="Arial"/>
                <w:b/>
                <w:bCs/>
                <w:noProof w:val="0"/>
                <w:sz w:val="26"/>
                <w:szCs w:val="26"/>
                <w:rtl/>
              </w:rPr>
            </w:pPr>
          </w:p>
          <w:p w:rsidR="00D00AE3" w:rsidRDefault="00D00AE3" w:rsidP="00E759C4">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D00AE3" w:rsidRDefault="00D00AE3" w:rsidP="00E759C4">
            <w:pPr>
              <w:suppressLineNumbers/>
              <w:rPr>
                <w:rFonts w:ascii="Arial" w:hAnsi="Arial"/>
                <w:b/>
                <w:bCs/>
                <w:noProof w:val="0"/>
                <w:sz w:val="26"/>
                <w:szCs w:val="26"/>
                <w:rtl/>
              </w:rPr>
            </w:pPr>
          </w:p>
          <w:p w:rsidR="00D00AE3" w:rsidRDefault="00D00AE3" w:rsidP="00F8243E">
            <w:pPr>
              <w:suppressLineNumbers/>
              <w:rPr>
                <w:b/>
                <w:bCs/>
                <w:noProof w:val="0"/>
                <w:sz w:val="26"/>
                <w:szCs w:val="26"/>
                <w:rtl/>
              </w:rPr>
            </w:pPr>
            <w:r>
              <w:rPr>
                <w:rFonts w:ascii="Arial" w:hAnsi="Arial"/>
                <w:b/>
                <w:bCs/>
                <w:noProof w:val="0"/>
                <w:sz w:val="26"/>
                <w:szCs w:val="26"/>
                <w:rtl/>
              </w:rPr>
              <w:t>א</w:t>
            </w:r>
            <w:r w:rsidR="00F8243E">
              <w:rPr>
                <w:rFonts w:ascii="Arial" w:hAnsi="Arial" w:hint="cs"/>
                <w:b/>
                <w:bCs/>
                <w:noProof w:val="0"/>
                <w:sz w:val="26"/>
                <w:szCs w:val="26"/>
                <w:rtl/>
              </w:rPr>
              <w:t>.</w:t>
            </w:r>
            <w:r>
              <w:rPr>
                <w:rFonts w:ascii="Arial" w:hAnsi="Arial"/>
                <w:b/>
                <w:bCs/>
                <w:noProof w:val="0"/>
                <w:sz w:val="26"/>
                <w:szCs w:val="26"/>
                <w:rtl/>
              </w:rPr>
              <w:t>ק</w:t>
            </w:r>
            <w:r w:rsidR="00F8243E">
              <w:rPr>
                <w:rFonts w:ascii="Arial" w:hAnsi="Arial" w:hint="cs"/>
                <w:b/>
                <w:bCs/>
                <w:noProof w:val="0"/>
                <w:sz w:val="26"/>
                <w:szCs w:val="26"/>
                <w:rtl/>
              </w:rPr>
              <w:t>.</w:t>
            </w:r>
          </w:p>
          <w:p w:rsidR="00D00AE3" w:rsidRPr="00364FB3" w:rsidRDefault="00D00AE3" w:rsidP="00E759C4">
            <w:pPr>
              <w:suppressLineNumbers/>
              <w:rPr>
                <w:noProof w:val="0"/>
                <w:rtl/>
              </w:rPr>
            </w:pPr>
            <w:r>
              <w:rPr>
                <w:rFonts w:hint="cs"/>
                <w:noProof w:val="0"/>
                <w:rtl/>
              </w:rPr>
              <w:t xml:space="preserve">מיוצג ע"י עוה"ד איילת </w:t>
            </w:r>
            <w:proofErr w:type="spellStart"/>
            <w:r>
              <w:rPr>
                <w:rFonts w:hint="cs"/>
                <w:noProof w:val="0"/>
                <w:rtl/>
              </w:rPr>
              <w:t>קיטיביץ</w:t>
            </w:r>
            <w:proofErr w:type="spellEnd"/>
            <w:r>
              <w:rPr>
                <w:rFonts w:hint="cs"/>
                <w:noProof w:val="0"/>
                <w:rtl/>
              </w:rPr>
              <w:t xml:space="preserve"> ונופר </w:t>
            </w:r>
            <w:proofErr w:type="spellStart"/>
            <w:r>
              <w:rPr>
                <w:rFonts w:hint="cs"/>
                <w:noProof w:val="0"/>
                <w:rtl/>
              </w:rPr>
              <w:t>סוויסה</w:t>
            </w:r>
            <w:proofErr w:type="spellEnd"/>
          </w:p>
        </w:tc>
      </w:tr>
      <w:tr w:rsidR="00D00AE3" w:rsidTr="00E759C4">
        <w:trPr>
          <w:jc w:val="center"/>
        </w:trPr>
        <w:tc>
          <w:tcPr>
            <w:tcW w:w="8820" w:type="dxa"/>
            <w:gridSpan w:val="4"/>
          </w:tcPr>
          <w:p w:rsidR="00D00AE3" w:rsidRDefault="00D00AE3" w:rsidP="00E759C4">
            <w:pPr>
              <w:suppressLineNumbers/>
              <w:rPr>
                <w:rFonts w:ascii="Arial" w:hAnsi="Arial"/>
                <w:b/>
                <w:bCs/>
                <w:noProof w:val="0"/>
                <w:sz w:val="26"/>
                <w:szCs w:val="26"/>
                <w:rtl/>
              </w:rPr>
            </w:pPr>
          </w:p>
        </w:tc>
      </w:tr>
    </w:tbl>
    <w:p w:rsidR="00D00AE3" w:rsidRDefault="00D00AE3" w:rsidP="00D00AE3">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00AE3" w:rsidRPr="00DE1E7D" w:rsidTr="00E759C4">
        <w:trPr>
          <w:jc w:val="center"/>
        </w:trPr>
        <w:tc>
          <w:tcPr>
            <w:tcW w:w="8820" w:type="dxa"/>
          </w:tcPr>
          <w:p w:rsidR="00D00AE3" w:rsidRDefault="00D00AE3" w:rsidP="00E759C4">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00AE3" w:rsidRPr="00364FB3" w:rsidRDefault="00D00AE3" w:rsidP="00E759C4">
            <w:pPr>
              <w:bidi w:val="0"/>
              <w:jc w:val="center"/>
              <w:rPr>
                <w:rFonts w:ascii="David" w:hAnsi="David"/>
                <w:b/>
                <w:bCs/>
                <w:noProof w:val="0"/>
                <w:rtl/>
              </w:rPr>
            </w:pPr>
            <w:r>
              <w:rPr>
                <w:rFonts w:ascii="David" w:hAnsi="David" w:hint="cs"/>
                <w:b/>
                <w:bCs/>
                <w:noProof w:val="0"/>
                <w:rtl/>
              </w:rPr>
              <w:t>בבקשה למזונות זמניים</w:t>
            </w:r>
          </w:p>
          <w:p w:rsidR="00D00AE3" w:rsidRPr="00D44968" w:rsidRDefault="00D00AE3" w:rsidP="00E759C4">
            <w:pPr>
              <w:bidi w:val="0"/>
              <w:jc w:val="center"/>
              <w:rPr>
                <w:rFonts w:ascii="Arial" w:hAnsi="Arial"/>
                <w:b/>
                <w:bCs/>
                <w:noProof w:val="0"/>
                <w:sz w:val="28"/>
                <w:szCs w:val="28"/>
                <w:u w:val="single"/>
              </w:rPr>
            </w:pPr>
          </w:p>
        </w:tc>
      </w:tr>
    </w:tbl>
    <w:p w:rsidR="00D00AE3" w:rsidRDefault="00D00AE3" w:rsidP="00D00AE3">
      <w:pPr>
        <w:spacing w:line="360" w:lineRule="auto"/>
        <w:jc w:val="both"/>
        <w:rPr>
          <w:rFonts w:ascii="David" w:hAnsi="David"/>
          <w:noProof w:val="0"/>
          <w:rtl/>
        </w:rPr>
      </w:pPr>
      <w:bookmarkStart w:id="1" w:name="NGCSBookmark"/>
      <w:bookmarkEnd w:id="1"/>
      <w:r>
        <w:rPr>
          <w:rFonts w:ascii="David" w:hAnsi="David"/>
          <w:rtl/>
        </w:rPr>
        <w:t>לפני בקשה למזונות זמניים לבתם המשותפת של הצדדים ילידת 28/9/2019 (להלן-</w:t>
      </w:r>
      <w:r>
        <w:rPr>
          <w:rFonts w:ascii="David" w:hAnsi="David"/>
          <w:b/>
          <w:bCs/>
          <w:rtl/>
        </w:rPr>
        <w:t>הבת</w:t>
      </w:r>
      <w:r>
        <w:rPr>
          <w:rFonts w:ascii="David" w:hAnsi="David"/>
          <w:rtl/>
        </w:rPr>
        <w:t xml:space="preserve">). הצדדים נישאו בנישואים אזרחיים בשנת 2016. </w:t>
      </w:r>
    </w:p>
    <w:p w:rsidR="00D00AE3" w:rsidRDefault="00D00AE3" w:rsidP="00D00AE3">
      <w:pPr>
        <w:spacing w:line="360" w:lineRule="auto"/>
        <w:jc w:val="both"/>
        <w:rPr>
          <w:rFonts w:ascii="David" w:hAnsi="David"/>
          <w:noProof w:val="0"/>
        </w:rPr>
      </w:pPr>
    </w:p>
    <w:p w:rsidR="00D00AE3" w:rsidRDefault="00D00AE3" w:rsidP="00D00AE3">
      <w:pPr>
        <w:spacing w:line="360" w:lineRule="auto"/>
        <w:jc w:val="both"/>
        <w:rPr>
          <w:rFonts w:ascii="David" w:hAnsi="David"/>
          <w:b/>
          <w:bCs/>
          <w:rtl/>
        </w:rPr>
      </w:pPr>
      <w:r>
        <w:rPr>
          <w:rFonts w:ascii="David" w:hAnsi="David"/>
          <w:b/>
          <w:bCs/>
          <w:u w:val="single"/>
          <w:rtl/>
        </w:rPr>
        <w:t>הרקע העובדתי</w:t>
      </w:r>
      <w:r>
        <w:rPr>
          <w:rFonts w:ascii="David" w:hAnsi="David"/>
          <w:b/>
          <w:bCs/>
          <w:rtl/>
        </w:rPr>
        <w:t>:</w:t>
      </w:r>
    </w:p>
    <w:p w:rsidR="00D00AE3" w:rsidRDefault="00D00AE3" w:rsidP="00D00AE3">
      <w:pPr>
        <w:spacing w:line="360" w:lineRule="auto"/>
        <w:jc w:val="both"/>
        <w:rPr>
          <w:rFonts w:ascii="David" w:hAnsi="David"/>
          <w:b/>
          <w:bCs/>
          <w:rtl/>
        </w:rPr>
      </w:pPr>
    </w:p>
    <w:p w:rsidR="00D00AE3" w:rsidRPr="00364FB3" w:rsidRDefault="00D00AE3" w:rsidP="00D00AE3">
      <w:pPr>
        <w:spacing w:line="360" w:lineRule="auto"/>
        <w:ind w:left="720" w:hanging="720"/>
        <w:jc w:val="both"/>
        <w:rPr>
          <w:rFonts w:ascii="David" w:hAnsi="David"/>
          <w:rtl/>
        </w:rPr>
      </w:pPr>
      <w:r w:rsidRPr="00364FB3">
        <w:rPr>
          <w:rFonts w:ascii="David" w:hAnsi="David"/>
          <w:rtl/>
        </w:rPr>
        <w:t>1.</w:t>
      </w:r>
      <w:r>
        <w:rPr>
          <w:rFonts w:ascii="David" w:hAnsi="David"/>
          <w:rtl/>
        </w:rPr>
        <w:tab/>
      </w:r>
      <w:r w:rsidRPr="00364FB3">
        <w:rPr>
          <w:rFonts w:ascii="David" w:hAnsi="David"/>
          <w:rtl/>
        </w:rPr>
        <w:t xml:space="preserve">המבקשת (להלן- </w:t>
      </w:r>
      <w:r w:rsidRPr="00364FB3">
        <w:rPr>
          <w:rFonts w:ascii="David" w:hAnsi="David"/>
          <w:b/>
          <w:bCs/>
          <w:rtl/>
        </w:rPr>
        <w:t>האם</w:t>
      </w:r>
      <w:r w:rsidRPr="00364FB3">
        <w:rPr>
          <w:rFonts w:ascii="David" w:hAnsi="David"/>
          <w:rtl/>
        </w:rPr>
        <w:t>) הגישה ביום 25/4/2023 תביעה למזונות הבת ומכוחה ביום 30/4/2023 את הבקשה למזונות זמניים (להלן-</w:t>
      </w:r>
      <w:r w:rsidRPr="00364FB3">
        <w:rPr>
          <w:rFonts w:ascii="David" w:hAnsi="David"/>
          <w:b/>
          <w:bCs/>
          <w:rtl/>
        </w:rPr>
        <w:t>הבקשה</w:t>
      </w:r>
      <w:r w:rsidRPr="00364FB3">
        <w:rPr>
          <w:rFonts w:ascii="David" w:hAnsi="David"/>
          <w:rtl/>
        </w:rPr>
        <w:t xml:space="preserve">). </w:t>
      </w:r>
    </w:p>
    <w:p w:rsidR="00D00AE3" w:rsidRPr="00364FB3" w:rsidRDefault="00D00AE3" w:rsidP="00D00AE3">
      <w:pPr>
        <w:ind w:left="720" w:hanging="720"/>
        <w:rPr>
          <w:rtl/>
        </w:rPr>
      </w:pPr>
    </w:p>
    <w:p w:rsidR="00D00AE3" w:rsidRDefault="00D00AE3" w:rsidP="00D00AE3">
      <w:pPr>
        <w:spacing w:line="360" w:lineRule="auto"/>
        <w:ind w:left="720" w:hanging="720"/>
        <w:jc w:val="both"/>
        <w:rPr>
          <w:rFonts w:ascii="David" w:hAnsi="David"/>
          <w:rtl/>
        </w:rPr>
      </w:pPr>
      <w:r>
        <w:rPr>
          <w:rFonts w:ascii="David" w:hAnsi="David"/>
          <w:rtl/>
        </w:rPr>
        <w:t>2.</w:t>
      </w:r>
      <w:r>
        <w:rPr>
          <w:rFonts w:ascii="David" w:hAnsi="David"/>
          <w:rtl/>
        </w:rPr>
        <w:tab/>
        <w:t xml:space="preserve">המשיב (להלן- </w:t>
      </w:r>
      <w:r>
        <w:rPr>
          <w:rFonts w:ascii="David" w:hAnsi="David"/>
          <w:b/>
          <w:bCs/>
          <w:rtl/>
        </w:rPr>
        <w:t>האב</w:t>
      </w:r>
      <w:r>
        <w:rPr>
          <w:rFonts w:ascii="David" w:hAnsi="David"/>
          <w:rtl/>
        </w:rPr>
        <w:t xml:space="preserve">) הגיש תשובתו לבקשה ביום 24/5/2023 ובין יתר טיעוניו טען שהבת מקבלת קצבה בשל נכותה כמי שאובחנה על הרצף האוטיסטי.   </w:t>
      </w:r>
    </w:p>
    <w:p w:rsidR="00D00AE3" w:rsidRDefault="00D00AE3" w:rsidP="00D00AE3">
      <w:pPr>
        <w:spacing w:line="360" w:lineRule="auto"/>
        <w:ind w:left="720" w:hanging="720"/>
        <w:jc w:val="both"/>
        <w:rPr>
          <w:rFonts w:ascii="David" w:hAnsi="David"/>
          <w:rtl/>
        </w:rPr>
      </w:pPr>
    </w:p>
    <w:p w:rsidR="00D00AE3" w:rsidRDefault="00D00AE3" w:rsidP="00D00AE3">
      <w:pPr>
        <w:spacing w:line="360" w:lineRule="auto"/>
        <w:ind w:left="720" w:hanging="720"/>
        <w:jc w:val="both"/>
        <w:rPr>
          <w:rFonts w:ascii="David" w:hAnsi="David"/>
          <w:rtl/>
        </w:rPr>
      </w:pPr>
      <w:r>
        <w:rPr>
          <w:rFonts w:ascii="David" w:hAnsi="David"/>
          <w:rtl/>
        </w:rPr>
        <w:t>3.</w:t>
      </w:r>
      <w:r>
        <w:rPr>
          <w:rFonts w:ascii="David" w:hAnsi="David"/>
          <w:rtl/>
        </w:rPr>
        <w:tab/>
        <w:t>ביום 4/6/22023 נתתי החלטתי בבקשה בה פרטתי את הצרכים הנתבעים, השתכרות הצדדים, על פי כל אחד מהם, ובשל טענת האב לעניין קצבת הנכות שהועלמה מהבקשה  הוריתי בזו הלשון:</w:t>
      </w:r>
    </w:p>
    <w:p w:rsidR="00D00AE3" w:rsidRDefault="00D00AE3" w:rsidP="00D00AE3">
      <w:pPr>
        <w:spacing w:line="360" w:lineRule="auto"/>
        <w:ind w:left="720" w:hanging="720"/>
        <w:jc w:val="both"/>
        <w:rPr>
          <w:rFonts w:ascii="David" w:hAnsi="David"/>
          <w:rtl/>
        </w:rPr>
      </w:pPr>
      <w:r>
        <w:rPr>
          <w:rFonts w:ascii="David" w:hAnsi="David"/>
          <w:rtl/>
        </w:rPr>
        <w:tab/>
        <w:t>" ...</w:t>
      </w:r>
    </w:p>
    <w:p w:rsidR="00D00AE3" w:rsidRDefault="00D00AE3" w:rsidP="00D00AE3">
      <w:pPr>
        <w:spacing w:line="360" w:lineRule="auto"/>
        <w:ind w:left="1440" w:hanging="720"/>
        <w:jc w:val="both"/>
        <w:rPr>
          <w:rFonts w:ascii="David" w:hAnsi="David"/>
          <w:b/>
          <w:bCs/>
          <w:rtl/>
        </w:rPr>
      </w:pPr>
      <w:r>
        <w:rPr>
          <w:rFonts w:ascii="David" w:hAnsi="David"/>
          <w:b/>
          <w:bCs/>
          <w:rtl/>
        </w:rPr>
        <w:t>3.</w:t>
      </w:r>
      <w:r>
        <w:rPr>
          <w:rFonts w:ascii="David" w:hAnsi="David"/>
          <w:b/>
          <w:bCs/>
          <w:rtl/>
        </w:rPr>
        <w:tab/>
        <w:t>האם לא צירפה אישור על גובה קצבת הנכות אותה מקבלת הבת ולאיזה צרכים היא משמשת בפרוט הראוי או בפרוט כלל. די בכך כדי לדחות הבקשה. כך למשל האם צירפה אישור תשלום לגן על סך של 716 ₪ לא ברור לאיזו תקופה . כך, מעבר להסכם השכירות  והתשלום לגן לא צירפה האם ראיות לסכומים הנתבעים (ראיתי את המסמכים הקשורים בביטוח הרכב).</w:t>
      </w:r>
    </w:p>
    <w:p w:rsidR="00D00AE3" w:rsidRDefault="00D00AE3" w:rsidP="00D00AE3">
      <w:pPr>
        <w:spacing w:line="360" w:lineRule="auto"/>
        <w:ind w:left="1440" w:hanging="720"/>
        <w:jc w:val="both"/>
        <w:rPr>
          <w:rFonts w:ascii="David" w:hAnsi="David"/>
          <w:b/>
          <w:bCs/>
          <w:rtl/>
        </w:rPr>
      </w:pPr>
    </w:p>
    <w:p w:rsidR="00D00AE3" w:rsidRDefault="00D00AE3" w:rsidP="00D00AE3">
      <w:pPr>
        <w:spacing w:line="360" w:lineRule="auto"/>
        <w:ind w:left="1440"/>
        <w:jc w:val="both"/>
        <w:rPr>
          <w:rFonts w:ascii="David" w:hAnsi="David"/>
          <w:b/>
          <w:bCs/>
          <w:rtl/>
        </w:rPr>
      </w:pPr>
      <w:r>
        <w:rPr>
          <w:rFonts w:ascii="David" w:hAnsi="David"/>
          <w:b/>
          <w:bCs/>
          <w:rtl/>
        </w:rPr>
        <w:lastRenderedPageBreak/>
        <w:t>תובענה למזונות כמו בקשה למזונות זמניים צריכה להוכחתה צירוף כלל המסמכים כביעה כספית.</w:t>
      </w:r>
    </w:p>
    <w:p w:rsidR="00D00AE3" w:rsidRDefault="00D00AE3" w:rsidP="00D00AE3">
      <w:pPr>
        <w:spacing w:line="360" w:lineRule="auto"/>
        <w:ind w:left="1440"/>
        <w:jc w:val="both"/>
        <w:rPr>
          <w:rFonts w:ascii="David" w:hAnsi="David"/>
          <w:b/>
          <w:bCs/>
          <w:rtl/>
        </w:rPr>
      </w:pPr>
    </w:p>
    <w:p w:rsidR="00D00AE3" w:rsidRDefault="00D00AE3" w:rsidP="00D00AE3">
      <w:pPr>
        <w:spacing w:line="360" w:lineRule="auto"/>
        <w:ind w:left="1440" w:hanging="615"/>
        <w:jc w:val="both"/>
        <w:rPr>
          <w:rFonts w:ascii="David" w:hAnsi="David"/>
          <w:b/>
          <w:bCs/>
          <w:rtl/>
        </w:rPr>
      </w:pPr>
      <w:r>
        <w:rPr>
          <w:rFonts w:ascii="David" w:hAnsi="David"/>
          <w:b/>
          <w:bCs/>
          <w:rtl/>
        </w:rPr>
        <w:t>4.</w:t>
      </w:r>
      <w:r>
        <w:rPr>
          <w:rFonts w:ascii="David" w:hAnsi="David"/>
          <w:b/>
          <w:bCs/>
          <w:rtl/>
        </w:rPr>
        <w:tab/>
        <w:t xml:space="preserve">בנסיבות אלה דין הבקשה, כאמור,  להידחות. יחד עם זאת משעה שהחלטה כזו אינה מיטיבה עם הבת וההליך הבקשה נקבעת לדיון  </w:t>
      </w:r>
      <w:r>
        <w:rPr>
          <w:rFonts w:ascii="David" w:hAnsi="David"/>
          <w:b/>
          <w:bCs/>
          <w:u w:val="single"/>
          <w:rtl/>
        </w:rPr>
        <w:t>15/6/23 בשעה 11:00 למשך 30 דק'.</w:t>
      </w:r>
    </w:p>
    <w:p w:rsidR="00D00AE3" w:rsidRDefault="00D00AE3" w:rsidP="00D00AE3">
      <w:pPr>
        <w:spacing w:line="360" w:lineRule="auto"/>
        <w:ind w:left="1440" w:hanging="615"/>
        <w:jc w:val="both"/>
        <w:rPr>
          <w:rFonts w:ascii="David" w:hAnsi="David"/>
          <w:b/>
          <w:bCs/>
          <w:rtl/>
        </w:rPr>
      </w:pPr>
    </w:p>
    <w:p w:rsidR="00D00AE3" w:rsidRDefault="00D00AE3" w:rsidP="00D00AE3">
      <w:pPr>
        <w:spacing w:line="360" w:lineRule="auto"/>
        <w:ind w:left="1440" w:hanging="720"/>
        <w:jc w:val="both"/>
        <w:rPr>
          <w:rFonts w:ascii="David" w:hAnsi="David"/>
          <w:rtl/>
        </w:rPr>
      </w:pPr>
      <w:r>
        <w:rPr>
          <w:rFonts w:ascii="David" w:hAnsi="David"/>
          <w:b/>
          <w:bCs/>
          <w:rtl/>
        </w:rPr>
        <w:t>5.</w:t>
      </w:r>
      <w:r>
        <w:rPr>
          <w:rFonts w:ascii="David" w:hAnsi="David"/>
          <w:b/>
          <w:bCs/>
          <w:rtl/>
        </w:rPr>
        <w:tab/>
        <w:t>עד ליום 14/6/23  תגיש האם אישור מהמוסד לביטוח לאומי על גובה הקצבה ותפרט בתצהיר ממוקד אליו יצורפו אסמכתאות על הצרכים הממומנים על ידי הקצבה</w:t>
      </w:r>
      <w:r>
        <w:rPr>
          <w:rFonts w:ascii="David" w:hAnsi="David"/>
          <w:rtl/>
        </w:rPr>
        <w:t>."</w:t>
      </w:r>
    </w:p>
    <w:p w:rsidR="00D00AE3" w:rsidRDefault="00D00AE3" w:rsidP="00D00AE3">
      <w:pPr>
        <w:spacing w:line="360" w:lineRule="auto"/>
        <w:ind w:left="1440" w:hanging="720"/>
        <w:jc w:val="both"/>
        <w:rPr>
          <w:rFonts w:ascii="David" w:hAnsi="David"/>
          <w:rtl/>
        </w:rPr>
      </w:pPr>
    </w:p>
    <w:p w:rsidR="00D00AE3" w:rsidRDefault="00D00AE3" w:rsidP="00D00AE3">
      <w:pPr>
        <w:spacing w:line="360" w:lineRule="auto"/>
        <w:ind w:left="720" w:hanging="720"/>
        <w:jc w:val="both"/>
        <w:rPr>
          <w:rFonts w:ascii="David" w:hAnsi="David"/>
          <w:rtl/>
        </w:rPr>
      </w:pPr>
      <w:r>
        <w:rPr>
          <w:rFonts w:ascii="David" w:hAnsi="David"/>
          <w:rtl/>
        </w:rPr>
        <w:t>4.</w:t>
      </w:r>
      <w:r>
        <w:rPr>
          <w:rFonts w:ascii="David" w:hAnsi="David"/>
          <w:rtl/>
        </w:rPr>
        <w:tab/>
        <w:t xml:space="preserve">ביום  12/6/2023 הוגש תצהיר משלים מטעם האם ממנו עולה שהבת זכאית לקצבת נכות חודשית על סך של </w:t>
      </w:r>
      <w:r>
        <w:rPr>
          <w:rFonts w:ascii="David" w:hAnsi="David"/>
          <w:u w:val="single"/>
          <w:rtl/>
        </w:rPr>
        <w:t xml:space="preserve">3,295 ₪ </w:t>
      </w:r>
      <w:r>
        <w:rPr>
          <w:rFonts w:ascii="David" w:hAnsi="David"/>
          <w:rtl/>
        </w:rPr>
        <w:t xml:space="preserve">לחודש. </w:t>
      </w:r>
    </w:p>
    <w:p w:rsidR="00D00AE3" w:rsidRDefault="00D00AE3" w:rsidP="00D00AE3">
      <w:pPr>
        <w:spacing w:line="360" w:lineRule="auto"/>
        <w:ind w:left="720" w:hanging="720"/>
        <w:jc w:val="both"/>
        <w:rPr>
          <w:rFonts w:ascii="David" w:hAnsi="David"/>
          <w:rtl/>
        </w:rPr>
      </w:pPr>
    </w:p>
    <w:p w:rsidR="00D00AE3" w:rsidRDefault="00D00AE3" w:rsidP="00F8243E">
      <w:pPr>
        <w:spacing w:line="360" w:lineRule="auto"/>
        <w:ind w:left="720" w:hanging="720"/>
        <w:jc w:val="both"/>
        <w:rPr>
          <w:rFonts w:ascii="David" w:hAnsi="David"/>
          <w:rtl/>
        </w:rPr>
      </w:pPr>
      <w:r>
        <w:rPr>
          <w:rFonts w:ascii="David" w:hAnsi="David"/>
          <w:rtl/>
        </w:rPr>
        <w:t>5.</w:t>
      </w:r>
      <w:r>
        <w:rPr>
          <w:rFonts w:ascii="David" w:hAnsi="David"/>
          <w:rtl/>
        </w:rPr>
        <w:tab/>
        <w:t>בקשר לפרוט ההוצאות והשימושים שעושה האם בקצבת הנכות של הבת פרטה האם בתצהיר שהיא משתמשת מתוך קצבת הנכות באופן ישיר לטובת צרכי הבת  רק תשלום לגן בסכום חודשי של 716 ₪ לחודש המשולם לעמותת "</w:t>
      </w:r>
      <w:r w:rsidR="00F8243E">
        <w:rPr>
          <w:rFonts w:ascii="David" w:hAnsi="David" w:hint="cs"/>
        </w:rPr>
        <w:t>XXX</w:t>
      </w:r>
      <w:r>
        <w:rPr>
          <w:rFonts w:ascii="David" w:hAnsi="David"/>
          <w:rtl/>
        </w:rPr>
        <w:t>". כך, נטען שם ש"</w:t>
      </w:r>
      <w:r>
        <w:rPr>
          <w:rFonts w:ascii="David" w:hAnsi="David"/>
          <w:b/>
          <w:bCs/>
          <w:rtl/>
        </w:rPr>
        <w:t>במסגרת הגן מקבלת הבת טיפולים פרא רפואיים המותאמים לצרכיה</w:t>
      </w:r>
      <w:r>
        <w:rPr>
          <w:rFonts w:ascii="David" w:hAnsi="David"/>
          <w:rtl/>
        </w:rPr>
        <w:t xml:space="preserve">" יוער בהקשר זה שלבקשה צרפה האם חשבונית המעידה על התשלום בסך זה לגן. </w:t>
      </w:r>
    </w:p>
    <w:p w:rsidR="00D00AE3" w:rsidRDefault="00D00AE3" w:rsidP="00D00AE3">
      <w:pPr>
        <w:spacing w:line="360" w:lineRule="auto"/>
        <w:ind w:left="720" w:hanging="720"/>
        <w:jc w:val="both"/>
        <w:rPr>
          <w:rFonts w:ascii="David" w:hAnsi="David"/>
          <w:rtl/>
        </w:rPr>
      </w:pPr>
    </w:p>
    <w:p w:rsidR="00D00AE3" w:rsidRDefault="00D00AE3" w:rsidP="00D00AE3">
      <w:pPr>
        <w:spacing w:line="360" w:lineRule="auto"/>
        <w:ind w:left="720" w:hanging="720"/>
        <w:jc w:val="both"/>
        <w:rPr>
          <w:rFonts w:ascii="David" w:hAnsi="David"/>
          <w:rtl/>
        </w:rPr>
      </w:pPr>
      <w:r>
        <w:rPr>
          <w:rFonts w:ascii="David" w:hAnsi="David"/>
          <w:rtl/>
        </w:rPr>
        <w:t>6.</w:t>
      </w:r>
      <w:r>
        <w:rPr>
          <w:rFonts w:ascii="David" w:hAnsi="David"/>
          <w:rtl/>
        </w:rPr>
        <w:tab/>
        <w:t>לבד מסכום זה פרטה האם בתצהיר בכלליות את השימוש שהיא עושה ביתרת הקצבה (2,579 ₪ לחודש)  - הוצאות אשר אינן מוצאות ישירות לטובת הבת אלא בהבנתה בעקיפין לטובת הבת: "</w:t>
      </w:r>
      <w:r>
        <w:rPr>
          <w:rFonts w:ascii="David" w:hAnsi="David"/>
          <w:b/>
          <w:bCs/>
          <w:rtl/>
        </w:rPr>
        <w:t>מפגשי הדרכה הורית באופן קבוע במסגרת הגן באמצע השבוע ובמהלך שעות הפעילות בגן</w:t>
      </w:r>
      <w:r>
        <w:rPr>
          <w:rFonts w:ascii="David" w:hAnsi="David"/>
          <w:rtl/>
        </w:rPr>
        <w:t>" (ס' 6)  לצורך השתתפותי "...</w:t>
      </w:r>
      <w:r>
        <w:rPr>
          <w:rFonts w:ascii="David" w:hAnsi="David"/>
          <w:b/>
          <w:bCs/>
          <w:rtl/>
        </w:rPr>
        <w:t>אני נעדרת מעבודתי הואיל ומפגשים אלו מתקיימים אחת לשבועיים במסגרת הגן</w:t>
      </w:r>
      <w:r>
        <w:rPr>
          <w:rFonts w:ascii="David" w:hAnsi="David"/>
          <w:rtl/>
        </w:rPr>
        <w:t>" (ס' 7). "</w:t>
      </w:r>
      <w:r>
        <w:rPr>
          <w:rFonts w:ascii="David" w:hAnsi="David"/>
          <w:b/>
          <w:bCs/>
          <w:rtl/>
        </w:rPr>
        <w:t>אני משתתפת במפגשים קבועים בגן</w:t>
      </w:r>
      <w:r>
        <w:rPr>
          <w:rFonts w:ascii="David" w:hAnsi="David"/>
          <w:rtl/>
        </w:rPr>
        <w:t xml:space="preserve"> ...</w:t>
      </w:r>
      <w:r>
        <w:rPr>
          <w:rFonts w:ascii="David" w:hAnsi="David"/>
          <w:b/>
          <w:bCs/>
          <w:rtl/>
        </w:rPr>
        <w:t>לצורך פגישות פרטניות עם צוות הגן, קבלת עדכונים, בניית תוכנית לימודים אישית עבור הקטינה</w:t>
      </w:r>
      <w:r>
        <w:rPr>
          <w:rFonts w:ascii="David" w:hAnsi="David"/>
          <w:rtl/>
        </w:rPr>
        <w:t>" (ס' 8) "</w:t>
      </w:r>
      <w:r>
        <w:rPr>
          <w:rFonts w:ascii="David" w:hAnsi="David"/>
          <w:b/>
          <w:bCs/>
          <w:rtl/>
        </w:rPr>
        <w:t xml:space="preserve">במסגרת מפגשי ההנחיה והליווי אני מקבלת הנחיות לרכישת משחקים מותאמים עבור הקטינה לשיפור מיומנויות  התקשורת שלה" </w:t>
      </w:r>
      <w:r>
        <w:rPr>
          <w:rFonts w:ascii="David" w:hAnsi="David"/>
          <w:rtl/>
        </w:rPr>
        <w:t>(ס' 9)</w:t>
      </w:r>
      <w:r>
        <w:rPr>
          <w:rFonts w:ascii="David" w:hAnsi="David" w:hint="cs"/>
          <w:rtl/>
        </w:rPr>
        <w:t>.</w:t>
      </w:r>
    </w:p>
    <w:p w:rsidR="00D00AE3" w:rsidRDefault="00D00AE3" w:rsidP="00D00AE3">
      <w:pPr>
        <w:spacing w:line="360" w:lineRule="auto"/>
        <w:ind w:left="720" w:hanging="720"/>
        <w:jc w:val="both"/>
        <w:rPr>
          <w:rFonts w:ascii="David" w:hAnsi="David"/>
          <w:rtl/>
        </w:rPr>
      </w:pPr>
      <w:r>
        <w:rPr>
          <w:rFonts w:ascii="David" w:hAnsi="David"/>
          <w:rtl/>
        </w:rPr>
        <w:t xml:space="preserve"> </w:t>
      </w:r>
    </w:p>
    <w:p w:rsidR="00D00AE3" w:rsidRDefault="00D00AE3" w:rsidP="00D00AE3">
      <w:pPr>
        <w:spacing w:line="360" w:lineRule="auto"/>
        <w:ind w:left="720" w:hanging="720"/>
        <w:jc w:val="both"/>
        <w:rPr>
          <w:rFonts w:ascii="David" w:hAnsi="David"/>
          <w:rtl/>
        </w:rPr>
      </w:pPr>
      <w:r>
        <w:rPr>
          <w:rFonts w:ascii="David" w:hAnsi="David"/>
          <w:rtl/>
        </w:rPr>
        <w:tab/>
        <w:t>מהתצהיר עולה שאין כל טיפול נדרש לבת לעת הזו שכן היא "...</w:t>
      </w:r>
      <w:r>
        <w:rPr>
          <w:rFonts w:ascii="David" w:hAnsi="David"/>
          <w:b/>
          <w:bCs/>
          <w:rtl/>
        </w:rPr>
        <w:t>מקבלת את מרבית הטיפולים במסגרת הגן איני נדרשת למימון טיפולים נוספים בשעות אחה"צ</w:t>
      </w:r>
      <w:r>
        <w:rPr>
          <w:rFonts w:ascii="David" w:hAnsi="David"/>
          <w:rtl/>
        </w:rPr>
        <w:t>" (ס' 10)</w:t>
      </w:r>
      <w:r>
        <w:rPr>
          <w:rFonts w:ascii="David" w:hAnsi="David" w:hint="cs"/>
          <w:rtl/>
        </w:rPr>
        <w:t>.</w:t>
      </w:r>
    </w:p>
    <w:p w:rsidR="00D00AE3" w:rsidRDefault="00D00AE3" w:rsidP="00D00AE3">
      <w:pPr>
        <w:spacing w:line="360" w:lineRule="auto"/>
        <w:ind w:left="720" w:hanging="720"/>
        <w:jc w:val="both"/>
        <w:rPr>
          <w:rFonts w:ascii="David" w:hAnsi="David"/>
          <w:rtl/>
        </w:rPr>
      </w:pPr>
    </w:p>
    <w:p w:rsidR="00D00AE3" w:rsidRDefault="00D00AE3" w:rsidP="00D00AE3">
      <w:pPr>
        <w:spacing w:line="360" w:lineRule="auto"/>
        <w:ind w:left="720"/>
        <w:jc w:val="both"/>
        <w:rPr>
          <w:rFonts w:ascii="David" w:hAnsi="David"/>
          <w:rtl/>
        </w:rPr>
      </w:pPr>
      <w:r>
        <w:rPr>
          <w:rFonts w:ascii="David" w:hAnsi="David"/>
          <w:rtl/>
        </w:rPr>
        <w:t>האם טענה לצורך שלה בתשלום שכירות  לדירה  ודמי אחזקת אותה דירה "...</w:t>
      </w:r>
      <w:r>
        <w:rPr>
          <w:rFonts w:ascii="David" w:hAnsi="David"/>
          <w:b/>
          <w:bCs/>
          <w:rtl/>
        </w:rPr>
        <w:t>ללא כל  השתתפות מצד המשיב, אשר מתגורר בדירה המשותפת ומסרב לשתף פעולה לצורך מכירתה</w:t>
      </w:r>
      <w:r>
        <w:rPr>
          <w:rFonts w:ascii="David" w:hAnsi="David"/>
          <w:rtl/>
        </w:rPr>
        <w:t>"</w:t>
      </w:r>
      <w:r>
        <w:rPr>
          <w:rFonts w:ascii="David" w:hAnsi="David" w:hint="cs"/>
          <w:rtl/>
        </w:rPr>
        <w:t>.</w:t>
      </w:r>
    </w:p>
    <w:p w:rsidR="00D00AE3" w:rsidRDefault="00D00AE3" w:rsidP="00D00AE3">
      <w:pPr>
        <w:spacing w:line="360" w:lineRule="auto"/>
        <w:ind w:left="720"/>
        <w:jc w:val="both"/>
        <w:rPr>
          <w:rFonts w:ascii="David" w:hAnsi="David"/>
          <w:rtl/>
        </w:rPr>
      </w:pPr>
      <w:r>
        <w:rPr>
          <w:rFonts w:ascii="David" w:hAnsi="David"/>
          <w:rtl/>
        </w:rPr>
        <w:t xml:space="preserve"> </w:t>
      </w:r>
    </w:p>
    <w:p w:rsidR="00D00AE3" w:rsidRDefault="00D00AE3" w:rsidP="00D00AE3">
      <w:pPr>
        <w:spacing w:line="360" w:lineRule="auto"/>
        <w:ind w:left="720"/>
        <w:jc w:val="both"/>
        <w:rPr>
          <w:rFonts w:ascii="David" w:hAnsi="David"/>
          <w:rtl/>
        </w:rPr>
      </w:pPr>
      <w:r>
        <w:rPr>
          <w:rFonts w:ascii="David" w:hAnsi="David"/>
          <w:rtl/>
        </w:rPr>
        <w:t>עוד טענה האם שעל פי הייעוץ שקיבלה "</w:t>
      </w:r>
      <w:r>
        <w:rPr>
          <w:rFonts w:ascii="David" w:hAnsi="David"/>
          <w:b/>
          <w:bCs/>
          <w:rtl/>
        </w:rPr>
        <w:t>גמלת הנכות אינה מיועדת למימון צרכיה השוטפים ו/או הוצאות הקיום השגרתיות של הקטינה, כגון: מדור, מזון, ביגוד והנעלה וכיוצ"ב</w:t>
      </w:r>
      <w:r>
        <w:rPr>
          <w:rFonts w:ascii="David" w:hAnsi="David"/>
          <w:rtl/>
        </w:rPr>
        <w:t xml:space="preserve">". </w:t>
      </w:r>
    </w:p>
    <w:p w:rsidR="00D00AE3" w:rsidRDefault="00D00AE3" w:rsidP="00D00AE3">
      <w:pPr>
        <w:spacing w:line="360" w:lineRule="auto"/>
        <w:ind w:left="720"/>
        <w:jc w:val="both"/>
        <w:rPr>
          <w:rFonts w:ascii="David" w:hAnsi="David"/>
          <w:rtl/>
        </w:rPr>
      </w:pPr>
    </w:p>
    <w:p w:rsidR="00D00AE3" w:rsidRDefault="00D00AE3" w:rsidP="00D00AE3">
      <w:pPr>
        <w:spacing w:line="360" w:lineRule="auto"/>
        <w:ind w:left="720" w:hanging="778"/>
        <w:jc w:val="both"/>
        <w:rPr>
          <w:rFonts w:ascii="David" w:hAnsi="David"/>
          <w:rtl/>
        </w:rPr>
      </w:pPr>
      <w:r>
        <w:rPr>
          <w:rFonts w:ascii="David" w:hAnsi="David"/>
          <w:rtl/>
        </w:rPr>
        <w:tab/>
        <w:t>עוד טענה שהואיל והיא נושאת בעיקר הטיפול בקטינה (ראו עמדת  האם להרחבת הסדרי השהות של האב עם הבת כמפורט בהחלטתי מהיום בתיק קשור) ומאחר והיא"...</w:t>
      </w:r>
      <w:r>
        <w:rPr>
          <w:rFonts w:ascii="David" w:hAnsi="David"/>
          <w:b/>
          <w:bCs/>
          <w:rtl/>
        </w:rPr>
        <w:t>מצויה בקשר רציף עם המסגרת החינוכית, עובדה אשר גורמת לפגיעה בהכנסתי ובכושר השתכרותי, וכן גורמת לי להוצאות עודפות עבור נסיעות וכיוצ"ב הרי שהגמלה מיועדת אף בעבור הטיפול העודף שלי בטינה, בפרט נוכח מגבלותיה וצרכיה המיוחדים"</w:t>
      </w:r>
    </w:p>
    <w:p w:rsidR="00D00AE3" w:rsidRDefault="00D00AE3" w:rsidP="00D00AE3">
      <w:pPr>
        <w:spacing w:line="360" w:lineRule="auto"/>
        <w:ind w:left="720" w:hanging="778"/>
        <w:jc w:val="both"/>
        <w:rPr>
          <w:rFonts w:ascii="David" w:hAnsi="David"/>
          <w:rtl/>
        </w:rPr>
      </w:pPr>
    </w:p>
    <w:p w:rsidR="00D00AE3" w:rsidRDefault="00D00AE3" w:rsidP="00D00AE3">
      <w:pPr>
        <w:spacing w:line="360" w:lineRule="auto"/>
        <w:ind w:left="720" w:hanging="636"/>
        <w:jc w:val="both"/>
        <w:rPr>
          <w:rFonts w:ascii="David" w:hAnsi="David"/>
          <w:rtl/>
        </w:rPr>
      </w:pPr>
      <w:r>
        <w:rPr>
          <w:rFonts w:ascii="David" w:hAnsi="David"/>
          <w:rtl/>
        </w:rPr>
        <w:tab/>
        <w:t>משכך טענה האם ש"</w:t>
      </w:r>
      <w:r>
        <w:rPr>
          <w:rFonts w:ascii="David" w:hAnsi="David"/>
          <w:b/>
          <w:bCs/>
          <w:rtl/>
        </w:rPr>
        <w:t>במצב דברים זה, אני נאלצת כיום לעשות שימוש גם בכספי הקצבה לצורך כיסוי הוצאות המחיה השוטפות עבורי ועבור הקטינה</w:t>
      </w:r>
      <w:r>
        <w:rPr>
          <w:rFonts w:ascii="David" w:hAnsi="David"/>
          <w:rtl/>
        </w:rPr>
        <w:t>".</w:t>
      </w:r>
    </w:p>
    <w:p w:rsidR="00D00AE3" w:rsidRDefault="00D00AE3" w:rsidP="00D00AE3">
      <w:pPr>
        <w:spacing w:line="360" w:lineRule="auto"/>
        <w:ind w:left="720" w:hanging="636"/>
        <w:jc w:val="both"/>
        <w:rPr>
          <w:rFonts w:ascii="David" w:hAnsi="David"/>
          <w:rtl/>
        </w:rPr>
      </w:pPr>
    </w:p>
    <w:p w:rsidR="00D00AE3" w:rsidRDefault="00D00AE3" w:rsidP="00D00AE3">
      <w:pPr>
        <w:spacing w:line="360" w:lineRule="auto"/>
        <w:ind w:left="720" w:hanging="636"/>
        <w:jc w:val="both"/>
        <w:rPr>
          <w:rFonts w:ascii="David" w:hAnsi="David"/>
          <w:rtl/>
        </w:rPr>
      </w:pPr>
      <w:r>
        <w:rPr>
          <w:rFonts w:ascii="David" w:hAnsi="David"/>
          <w:rtl/>
        </w:rPr>
        <w:t>7.</w:t>
      </w:r>
      <w:r>
        <w:rPr>
          <w:rFonts w:ascii="David" w:hAnsi="David"/>
          <w:rtl/>
        </w:rPr>
        <w:tab/>
        <w:t xml:space="preserve">האם צרפה לתצהירה את פסק דינו של כבוד השופט הנדל בהסכמת כבוד השופטים סולברג ושטיין בעניין </w:t>
      </w:r>
      <w:r>
        <w:rPr>
          <w:rFonts w:ascii="David" w:hAnsi="David"/>
          <w:u w:val="single"/>
          <w:rtl/>
        </w:rPr>
        <w:t xml:space="preserve">בע"מ 2083/19 </w:t>
      </w:r>
      <w:r>
        <w:rPr>
          <w:rFonts w:ascii="David" w:hAnsi="David"/>
          <w:b/>
          <w:bCs/>
          <w:rtl/>
        </w:rPr>
        <w:t xml:space="preserve">פלונית נ' פלוני </w:t>
      </w:r>
      <w:r>
        <w:rPr>
          <w:rFonts w:ascii="David" w:hAnsi="David"/>
          <w:rtl/>
        </w:rPr>
        <w:t>(28/4/2021) (להלן-</w:t>
      </w:r>
      <w:r>
        <w:rPr>
          <w:rFonts w:ascii="David" w:hAnsi="David"/>
          <w:b/>
          <w:bCs/>
          <w:rtl/>
        </w:rPr>
        <w:t>הלכת פלונית</w:t>
      </w:r>
      <w:r>
        <w:rPr>
          <w:rFonts w:ascii="David" w:hAnsi="David"/>
          <w:rtl/>
        </w:rPr>
        <w:t>) עליו התבססה, כנראה, בהנחת הסבריה לשימוש בקצבת הנכות של הבת וממנו ביקשה, כנראה, להקיש למקרה שלפנינו בו מתוך הקצבה רק 22% (בעיגול כלפי מעלה) משמשים לטובת הבת באופן ישיר (התשלום לגן) וכל השאר אינו מוצא לטובת הבת אלא מה שנחזה בעיני האם כצורך שלה לטובת הבת.</w:t>
      </w:r>
    </w:p>
    <w:p w:rsidR="00D00AE3" w:rsidRDefault="00D00AE3" w:rsidP="00D00AE3">
      <w:pPr>
        <w:spacing w:line="360" w:lineRule="auto"/>
        <w:ind w:left="720" w:hanging="636"/>
        <w:jc w:val="both"/>
        <w:rPr>
          <w:rFonts w:ascii="David" w:hAnsi="David"/>
          <w:rtl/>
        </w:rPr>
      </w:pPr>
    </w:p>
    <w:p w:rsidR="00D00AE3" w:rsidRDefault="00D00AE3" w:rsidP="00D00AE3">
      <w:pPr>
        <w:spacing w:line="360" w:lineRule="auto"/>
        <w:ind w:left="720" w:hanging="636"/>
        <w:jc w:val="both"/>
        <w:rPr>
          <w:rFonts w:ascii="David" w:hAnsi="David"/>
          <w:rtl/>
        </w:rPr>
      </w:pPr>
      <w:r>
        <w:rPr>
          <w:rFonts w:ascii="David" w:hAnsi="David"/>
          <w:rtl/>
        </w:rPr>
        <w:tab/>
        <w:t>אקדים אחרית לראשית ואתמה. גם אם אני נכון לקבל את עמדת האם, בהיקש מהלכת פלונית לא מצאתי כל הסבר מה טעם מלוא הסכום העודף שאינו משמש באופן ישיר את צרכי הבת ראוי שישמש את האם לבדה? והיכן שיתופו של האב? דומני שדי בכך כדי ללמד על הטענה של האם בדבר השימוש בקצבה.</w:t>
      </w:r>
    </w:p>
    <w:p w:rsidR="00D00AE3" w:rsidRDefault="00D00AE3" w:rsidP="00D00AE3">
      <w:pPr>
        <w:spacing w:line="360" w:lineRule="auto"/>
        <w:ind w:left="720" w:hanging="636"/>
        <w:jc w:val="both"/>
        <w:rPr>
          <w:rFonts w:ascii="David" w:hAnsi="David"/>
          <w:rtl/>
        </w:rPr>
      </w:pPr>
    </w:p>
    <w:p w:rsidR="00D00AE3" w:rsidRDefault="00D00AE3" w:rsidP="00D00AE3">
      <w:pPr>
        <w:spacing w:line="360" w:lineRule="auto"/>
        <w:ind w:left="720" w:hanging="636"/>
        <w:jc w:val="both"/>
        <w:rPr>
          <w:rFonts w:ascii="David" w:hAnsi="David"/>
          <w:rtl/>
        </w:rPr>
      </w:pPr>
      <w:r>
        <w:rPr>
          <w:rFonts w:ascii="David" w:hAnsi="David"/>
          <w:rtl/>
        </w:rPr>
        <w:tab/>
        <w:t>הדברים מעלים תהייה מקל וחומר שעה שהאם בבקשתה העמידה את שכרה החודשי הממוצע באופן הגבוה ב- 1,000 ₪ לחודש מזו של האב (שכרה</w:t>
      </w:r>
      <w:r>
        <w:rPr>
          <w:rFonts w:ascii="David" w:hAnsi="David" w:hint="cs"/>
          <w:rtl/>
        </w:rPr>
        <w:t xml:space="preserve"> החודשי </w:t>
      </w:r>
      <w:r>
        <w:rPr>
          <w:rFonts w:ascii="David" w:hAnsi="David"/>
          <w:rtl/>
        </w:rPr>
        <w:t xml:space="preserve"> הממוצע לטענתה עומד על סך של</w:t>
      </w:r>
      <w:r>
        <w:rPr>
          <w:rFonts w:ascii="David" w:hAnsi="David" w:hint="cs"/>
          <w:rtl/>
        </w:rPr>
        <w:t xml:space="preserve"> כ-</w:t>
      </w:r>
      <w:r>
        <w:rPr>
          <w:rFonts w:ascii="David" w:hAnsi="David"/>
          <w:rtl/>
        </w:rPr>
        <w:t xml:space="preserve"> 10,000 ₪ לחודש ושל האב על סך של כ- 9,000 ₪ </w:t>
      </w:r>
      <w:r>
        <w:rPr>
          <w:rFonts w:ascii="David" w:hAnsi="David" w:hint="cs"/>
          <w:rtl/>
        </w:rPr>
        <w:t>לחודש</w:t>
      </w:r>
      <w:r>
        <w:rPr>
          <w:rFonts w:ascii="David" w:hAnsi="David"/>
          <w:rtl/>
        </w:rPr>
        <w:t>- ס' 36-34 לבקשה). האב בתגובתו העמיד את הפער, ללא קצבת הנכות של הבת על</w:t>
      </w:r>
      <w:r>
        <w:rPr>
          <w:rFonts w:ascii="David" w:hAnsi="David" w:hint="cs"/>
          <w:rtl/>
        </w:rPr>
        <w:t xml:space="preserve"> סך של </w:t>
      </w:r>
      <w:r>
        <w:rPr>
          <w:rFonts w:ascii="David" w:hAnsi="David"/>
          <w:rtl/>
        </w:rPr>
        <w:t xml:space="preserve"> 2,000 ₪ </w:t>
      </w:r>
      <w:r>
        <w:rPr>
          <w:rFonts w:ascii="David" w:hAnsi="David" w:hint="cs"/>
          <w:rtl/>
        </w:rPr>
        <w:t xml:space="preserve">לחודש </w:t>
      </w:r>
      <w:r>
        <w:rPr>
          <w:rFonts w:ascii="David" w:hAnsi="David"/>
          <w:rtl/>
        </w:rPr>
        <w:t>(ס' 26-21 לתגובה)).</w:t>
      </w:r>
    </w:p>
    <w:p w:rsidR="00D00AE3" w:rsidRDefault="00D00AE3" w:rsidP="00D00AE3">
      <w:pPr>
        <w:spacing w:line="360" w:lineRule="auto"/>
        <w:ind w:left="720" w:hanging="636"/>
        <w:jc w:val="both"/>
        <w:rPr>
          <w:rFonts w:ascii="David" w:hAnsi="David"/>
          <w:rtl/>
        </w:rPr>
      </w:pPr>
    </w:p>
    <w:p w:rsidR="00D00AE3" w:rsidRDefault="00D00AE3" w:rsidP="00D00AE3">
      <w:pPr>
        <w:spacing w:line="360" w:lineRule="auto"/>
        <w:ind w:left="720" w:hanging="636"/>
        <w:jc w:val="both"/>
        <w:rPr>
          <w:rFonts w:ascii="David" w:hAnsi="David"/>
          <w:rtl/>
        </w:rPr>
      </w:pPr>
      <w:r>
        <w:rPr>
          <w:rFonts w:ascii="David" w:hAnsi="David"/>
          <w:rtl/>
        </w:rPr>
        <w:t>8.</w:t>
      </w:r>
      <w:r>
        <w:rPr>
          <w:rFonts w:ascii="David" w:hAnsi="David"/>
          <w:rtl/>
        </w:rPr>
        <w:tab/>
        <w:t>בסעיף 4 להלכת פלונית נקבע:</w:t>
      </w:r>
      <w:r>
        <w:rPr>
          <w:rFonts w:ascii="David" w:hAnsi="David" w:hint="cs"/>
          <w:rtl/>
        </w:rPr>
        <w:t xml:space="preserve"> </w:t>
      </w:r>
    </w:p>
    <w:p w:rsidR="00D00AE3" w:rsidRDefault="00D00AE3" w:rsidP="00D00AE3">
      <w:pPr>
        <w:spacing w:line="360" w:lineRule="auto"/>
        <w:ind w:left="720" w:hanging="636"/>
        <w:jc w:val="both"/>
        <w:rPr>
          <w:rFonts w:ascii="David" w:hAnsi="David"/>
          <w:rtl/>
        </w:rPr>
      </w:pPr>
    </w:p>
    <w:p w:rsidR="00D00AE3" w:rsidRDefault="00D00AE3" w:rsidP="00D00AE3">
      <w:pPr>
        <w:pStyle w:val="Ruller4"/>
        <w:ind w:left="800" w:hanging="800"/>
        <w:rPr>
          <w:rFonts w:ascii="David" w:eastAsiaTheme="minorHAnsi" w:hAnsi="David" w:cs="David"/>
          <w:b/>
          <w:bCs/>
          <w:spacing w:val="0"/>
          <w:sz w:val="24"/>
          <w:szCs w:val="24"/>
          <w:rtl/>
        </w:rPr>
      </w:pPr>
      <w:r>
        <w:rPr>
          <w:rFonts w:ascii="David" w:hAnsi="David" w:cs="David"/>
          <w:sz w:val="24"/>
          <w:szCs w:val="24"/>
          <w:rtl/>
        </w:rPr>
        <w:tab/>
      </w:r>
      <w:r>
        <w:rPr>
          <w:rFonts w:ascii="David" w:eastAsiaTheme="minorHAnsi" w:hAnsi="David" w:cs="David"/>
          <w:spacing w:val="0"/>
          <w:sz w:val="24"/>
          <w:szCs w:val="24"/>
          <w:rtl/>
        </w:rPr>
        <w:t>"4.</w:t>
      </w:r>
      <w:r>
        <w:rPr>
          <w:rFonts w:ascii="David" w:eastAsiaTheme="minorHAnsi" w:hAnsi="David" w:cs="David"/>
          <w:spacing w:val="0"/>
          <w:sz w:val="24"/>
          <w:szCs w:val="24"/>
          <w:rtl/>
        </w:rPr>
        <w:tab/>
      </w:r>
      <w:r>
        <w:rPr>
          <w:rFonts w:ascii="David" w:eastAsiaTheme="minorHAnsi" w:hAnsi="David" w:cs="David"/>
          <w:b/>
          <w:bCs/>
          <w:spacing w:val="0"/>
          <w:sz w:val="24"/>
          <w:szCs w:val="24"/>
          <w:rtl/>
        </w:rPr>
        <w:t xml:space="preserve">דומה כי כבר מלשון החוק ניתן להסיק שגמלת ההשתתפות בהוצאות </w:t>
      </w:r>
    </w:p>
    <w:p w:rsidR="00D00AE3" w:rsidRDefault="00D00AE3" w:rsidP="00D00AE3">
      <w:pPr>
        <w:pStyle w:val="Ruller4"/>
        <w:ind w:left="1440" w:hanging="800"/>
        <w:rPr>
          <w:rFonts w:ascii="David" w:eastAsiaTheme="minorHAnsi" w:hAnsi="David" w:cs="David"/>
          <w:spacing w:val="0"/>
          <w:sz w:val="24"/>
          <w:szCs w:val="24"/>
          <w:rtl/>
        </w:rPr>
      </w:pPr>
      <w:r>
        <w:rPr>
          <w:rFonts w:ascii="David" w:eastAsiaTheme="minorHAnsi" w:hAnsi="David" w:cs="David"/>
          <w:b/>
          <w:bCs/>
          <w:spacing w:val="0"/>
          <w:sz w:val="24"/>
          <w:szCs w:val="24"/>
          <w:rtl/>
        </w:rPr>
        <w:tab/>
      </w:r>
      <w:r>
        <w:rPr>
          <w:rFonts w:ascii="David" w:eastAsiaTheme="minorHAnsi" w:hAnsi="David" w:cs="David"/>
          <w:b/>
          <w:bCs/>
          <w:spacing w:val="0"/>
          <w:sz w:val="24"/>
          <w:szCs w:val="24"/>
          <w:rtl/>
        </w:rPr>
        <w:tab/>
        <w:t>נועדה לסייע במימון סידורים מיוחדים, הנדרשים עקב המוגבלות שעמה חי הילד, ולא בהוצאות הקיום השגרתיות. אכן, בדברי ההסבר להצעת תיקון 13 (</w:t>
      </w:r>
      <w:proofErr w:type="spellStart"/>
      <w:r>
        <w:rPr>
          <w:rFonts w:ascii="David" w:eastAsiaTheme="minorHAnsi" w:hAnsi="David" w:cs="David"/>
          <w:b/>
          <w:bCs/>
          <w:spacing w:val="0"/>
          <w:sz w:val="24"/>
          <w:szCs w:val="24"/>
          <w:rtl/>
        </w:rPr>
        <w:t>ה"ח</w:t>
      </w:r>
      <w:proofErr w:type="spellEnd"/>
      <w:r>
        <w:rPr>
          <w:rFonts w:ascii="David" w:eastAsiaTheme="minorHAnsi" w:hAnsi="David" w:cs="David"/>
          <w:b/>
          <w:bCs/>
          <w:spacing w:val="0"/>
          <w:sz w:val="24"/>
          <w:szCs w:val="24"/>
          <w:rtl/>
        </w:rPr>
        <w:t xml:space="preserve"> 1057, 264), נאמר כי "סעיף מוצע זה עניינו קביעת תנאים ושיעורים להשתתפות המוסד בהוצאות המבוטח הכרוכות בקיום אורח חיים רגיל של ילדו הנכה (כגון סידורי בית ונוחיות)" (ההדגשה אינה במקור). כך עולה גם מדברי נציג הביטוח הלאומי במהלך הדיון בתיקון 13 בוועדת העבודה של הכנסת: "אם יש צורך בסידורים מיוחדים לילד נכה [...] לפעמים יש ילד משותק שהוא מאה אחוז נכה וההורים</w:t>
      </w:r>
      <w:r>
        <w:rPr>
          <w:rFonts w:ascii="David" w:eastAsiaTheme="minorHAnsi" w:hAnsi="David" w:cs="David"/>
          <w:spacing w:val="0"/>
          <w:sz w:val="24"/>
          <w:szCs w:val="24"/>
          <w:rtl/>
        </w:rPr>
        <w:t xml:space="preserve"> </w:t>
      </w:r>
      <w:r>
        <w:rPr>
          <w:rFonts w:ascii="David" w:eastAsiaTheme="minorHAnsi" w:hAnsi="David" w:cs="David"/>
          <w:b/>
          <w:bCs/>
          <w:spacing w:val="0"/>
          <w:sz w:val="24"/>
          <w:szCs w:val="24"/>
          <w:rtl/>
        </w:rPr>
        <w:t xml:space="preserve">צריכים לצאת לעבודה, ואז מישהו צריך לתת דעתו לאותו </w:t>
      </w:r>
      <w:r>
        <w:rPr>
          <w:rFonts w:ascii="David" w:eastAsiaTheme="minorHAnsi" w:hAnsi="David" w:cs="David"/>
          <w:b/>
          <w:bCs/>
          <w:spacing w:val="0"/>
          <w:sz w:val="24"/>
          <w:szCs w:val="24"/>
          <w:rtl/>
        </w:rPr>
        <w:lastRenderedPageBreak/>
        <w:t xml:space="preserve">הילד, צריך אולי לקחת עזרה בבית [...] כדי שהילד יוכל לחיות את חייו הרגילים. אולי זה ילד עיוור שצריך לסדר לו כל מיני מכשירים שיבואו לעזרתו" (פרוטוקול ישיבה 394 של ועדת העבודה, הכנסת ה-7, 4 (27.5.1973)). באופן דומה, הבהיר שר העבודה, אלמוגי, בפתח הדיון בקריאה הראשונה בתיקון 13, כי ההסדרים המוצעים "מגשימים את </w:t>
      </w:r>
      <w:proofErr w:type="spellStart"/>
      <w:r>
        <w:rPr>
          <w:rFonts w:ascii="David" w:eastAsiaTheme="minorHAnsi" w:hAnsi="David" w:cs="David"/>
          <w:b/>
          <w:bCs/>
          <w:spacing w:val="0"/>
          <w:sz w:val="24"/>
          <w:szCs w:val="24"/>
          <w:rtl/>
        </w:rPr>
        <w:t>העקרון</w:t>
      </w:r>
      <w:proofErr w:type="spellEnd"/>
      <w:r>
        <w:rPr>
          <w:rFonts w:ascii="David" w:eastAsiaTheme="minorHAnsi" w:hAnsi="David" w:cs="David"/>
          <w:b/>
          <w:bCs/>
          <w:spacing w:val="0"/>
          <w:sz w:val="24"/>
          <w:szCs w:val="24"/>
          <w:rtl/>
        </w:rPr>
        <w:t xml:space="preserve"> של מתן סיוע לכל משפחה שאחד מבניה נכה שאינו מסוגל לתפקד ומשפחתו מתקשה לעמוד בהוצאות המיוחדות בהחזקתו ובשיקומו" (פרוטוקול ישיבה 415, הכנסת ה-7, 2577 (4.4.1973); ההדגשה אינה במקור</w:t>
      </w:r>
      <w:r>
        <w:rPr>
          <w:rFonts w:ascii="David" w:eastAsiaTheme="minorHAnsi" w:hAnsi="David" w:cs="David"/>
          <w:spacing w:val="0"/>
          <w:sz w:val="24"/>
          <w:szCs w:val="24"/>
          <w:rtl/>
        </w:rPr>
        <w:t>)."</w:t>
      </w:r>
    </w:p>
    <w:p w:rsidR="00D00AE3" w:rsidRDefault="00D00AE3" w:rsidP="00D00AE3">
      <w:pPr>
        <w:pStyle w:val="Ruller4"/>
        <w:ind w:left="1440" w:hanging="800"/>
        <w:rPr>
          <w:rFonts w:ascii="David" w:eastAsiaTheme="minorHAnsi" w:hAnsi="David" w:cs="David"/>
          <w:spacing w:val="0"/>
          <w:sz w:val="24"/>
          <w:szCs w:val="24"/>
          <w:rtl/>
        </w:rPr>
      </w:pPr>
    </w:p>
    <w:p w:rsidR="00D00AE3" w:rsidRDefault="00D00AE3" w:rsidP="00D00AE3">
      <w:pPr>
        <w:pStyle w:val="Ruller4"/>
        <w:ind w:left="1440" w:hanging="800"/>
        <w:jc w:val="left"/>
        <w:rPr>
          <w:rFonts w:ascii="David" w:hAnsi="David" w:cs="David"/>
          <w:sz w:val="24"/>
          <w:szCs w:val="24"/>
          <w:rtl/>
        </w:rPr>
      </w:pPr>
      <w:r>
        <w:rPr>
          <w:rFonts w:ascii="David" w:hAnsi="David" w:cs="David"/>
          <w:sz w:val="24"/>
          <w:szCs w:val="24"/>
          <w:rtl/>
        </w:rPr>
        <w:tab/>
      </w:r>
      <w:r>
        <w:rPr>
          <w:rFonts w:ascii="David" w:hAnsi="David" w:cs="David"/>
          <w:sz w:val="24"/>
          <w:szCs w:val="24"/>
          <w:rtl/>
        </w:rPr>
        <w:tab/>
        <w:t xml:space="preserve">בהמשך הפנה השופט הנדל לעניין </w:t>
      </w:r>
      <w:r w:rsidRPr="00364FB3">
        <w:rPr>
          <w:rFonts w:ascii="David" w:hAnsi="David" w:cs="David"/>
          <w:sz w:val="24"/>
          <w:szCs w:val="24"/>
          <w:u w:val="single"/>
          <w:rtl/>
        </w:rPr>
        <w:t>עב"ל (ארצי) 1059/00</w:t>
      </w:r>
      <w:r>
        <w:rPr>
          <w:rFonts w:ascii="David" w:hAnsi="David" w:cs="David"/>
          <w:sz w:val="24"/>
          <w:szCs w:val="24"/>
          <w:rtl/>
        </w:rPr>
        <w:t xml:space="preserve"> שם נקבע</w:t>
      </w:r>
      <w:r>
        <w:rPr>
          <w:rFonts w:ascii="David" w:hAnsi="David" w:cs="David" w:hint="cs"/>
          <w:sz w:val="24"/>
          <w:szCs w:val="24"/>
          <w:rtl/>
        </w:rPr>
        <w:t>:</w:t>
      </w:r>
    </w:p>
    <w:p w:rsidR="00D00AE3" w:rsidRDefault="00D00AE3" w:rsidP="00D00AE3">
      <w:pPr>
        <w:pStyle w:val="Ruller4"/>
        <w:ind w:left="1440" w:hanging="800"/>
        <w:jc w:val="left"/>
        <w:rPr>
          <w:rFonts w:ascii="David" w:hAnsi="David" w:cs="David"/>
          <w:sz w:val="24"/>
          <w:szCs w:val="24"/>
          <w:rtl/>
        </w:rPr>
      </w:pPr>
      <w:r>
        <w:rPr>
          <w:rFonts w:ascii="David" w:hAnsi="David" w:cs="David"/>
          <w:sz w:val="24"/>
          <w:szCs w:val="24"/>
          <w:rtl/>
        </w:rPr>
        <w:t xml:space="preserve"> </w:t>
      </w:r>
    </w:p>
    <w:p w:rsidR="00D00AE3" w:rsidRDefault="00D00AE3" w:rsidP="00D00AE3">
      <w:pPr>
        <w:pStyle w:val="Ruller5"/>
        <w:spacing w:line="360" w:lineRule="auto"/>
        <w:ind w:left="1502" w:right="0"/>
        <w:rPr>
          <w:rFonts w:ascii="David" w:eastAsiaTheme="minorHAnsi" w:hAnsi="David" w:cs="David"/>
          <w:b/>
          <w:bCs/>
          <w:spacing w:val="0"/>
          <w:sz w:val="24"/>
          <w:szCs w:val="24"/>
          <w:rtl/>
        </w:rPr>
      </w:pPr>
      <w:r>
        <w:rPr>
          <w:rFonts w:ascii="David" w:hAnsi="David" w:cs="David"/>
          <w:sz w:val="24"/>
          <w:szCs w:val="24"/>
          <w:rtl/>
        </w:rPr>
        <w:t>"</w:t>
      </w:r>
      <w:r>
        <w:rPr>
          <w:rFonts w:ascii="David" w:eastAsiaTheme="minorHAnsi" w:hAnsi="David" w:cs="David"/>
          <w:b/>
          <w:bCs/>
          <w:spacing w:val="0"/>
          <w:sz w:val="24"/>
          <w:szCs w:val="24"/>
          <w:rtl/>
        </w:rPr>
        <w:t xml:space="preserve">התכלית החקיקתית של מתן </w:t>
      </w:r>
      <w:proofErr w:type="spellStart"/>
      <w:r>
        <w:rPr>
          <w:rFonts w:ascii="David" w:eastAsiaTheme="minorHAnsi" w:hAnsi="David" w:cs="David"/>
          <w:b/>
          <w:bCs/>
          <w:spacing w:val="0"/>
          <w:sz w:val="24"/>
          <w:szCs w:val="24"/>
          <w:rtl/>
        </w:rPr>
        <w:t>גימלת</w:t>
      </w:r>
      <w:proofErr w:type="spellEnd"/>
      <w:r>
        <w:rPr>
          <w:rFonts w:ascii="David" w:eastAsiaTheme="minorHAnsi" w:hAnsi="David" w:cs="David"/>
          <w:b/>
          <w:bCs/>
          <w:spacing w:val="0"/>
          <w:sz w:val="24"/>
          <w:szCs w:val="24"/>
          <w:rtl/>
        </w:rPr>
        <w:t xml:space="preserve"> הילד הנכה הינה השתתפות, ולו חלקית, בהוצאות המיוחדות הנגרמות להורים עקב ליקוייו הרפואיים של ילדם. הוצאות מיוחדות אין משמען בהכרח הוצאה כספית ישירה בגין הילד, אלא אף אובדן יכולת לעבוד, ולו חלקית, עקב ריתוק ההורה לבית לצורך הטיפול בילד או תשלום למטפל שיטפל בו</w:t>
      </w:r>
      <w:r>
        <w:rPr>
          <w:rFonts w:ascii="David" w:eastAsiaTheme="minorHAnsi" w:hAnsi="David" w:cs="David"/>
          <w:spacing w:val="0"/>
          <w:sz w:val="24"/>
          <w:szCs w:val="24"/>
          <w:rtl/>
        </w:rPr>
        <w:t>".</w:t>
      </w:r>
    </w:p>
    <w:p w:rsidR="00D00AE3" w:rsidRDefault="00D00AE3" w:rsidP="00D00AE3">
      <w:pPr>
        <w:pStyle w:val="Ruller5"/>
        <w:spacing w:line="360" w:lineRule="auto"/>
        <w:ind w:left="1502" w:right="0"/>
        <w:rPr>
          <w:rFonts w:ascii="David" w:eastAsiaTheme="minorHAnsi" w:hAnsi="David" w:cs="David"/>
          <w:b/>
          <w:bCs/>
          <w:spacing w:val="0"/>
          <w:sz w:val="24"/>
          <w:szCs w:val="24"/>
          <w:rtl/>
        </w:rPr>
      </w:pPr>
    </w:p>
    <w:p w:rsidR="00D00AE3" w:rsidRDefault="00D00AE3" w:rsidP="00D00AE3">
      <w:pPr>
        <w:pStyle w:val="Ruller5"/>
        <w:spacing w:line="360" w:lineRule="auto"/>
        <w:ind w:left="714" w:right="0" w:hanging="630"/>
        <w:rPr>
          <w:rFonts w:ascii="David" w:eastAsiaTheme="minorHAnsi" w:hAnsi="David" w:cs="David"/>
          <w:spacing w:val="0"/>
          <w:sz w:val="24"/>
          <w:szCs w:val="24"/>
          <w:rtl/>
        </w:rPr>
      </w:pPr>
      <w:r>
        <w:rPr>
          <w:rFonts w:ascii="David" w:eastAsiaTheme="minorHAnsi" w:hAnsi="David" w:cs="David"/>
          <w:spacing w:val="0"/>
          <w:sz w:val="24"/>
          <w:szCs w:val="24"/>
          <w:rtl/>
        </w:rPr>
        <w:t>9.</w:t>
      </w:r>
      <w:r>
        <w:rPr>
          <w:rFonts w:ascii="David" w:eastAsiaTheme="minorHAnsi" w:hAnsi="David" w:cs="David"/>
          <w:spacing w:val="0"/>
          <w:sz w:val="24"/>
          <w:szCs w:val="24"/>
          <w:rtl/>
        </w:rPr>
        <w:tab/>
        <w:t xml:space="preserve">זו המסגרת הנורמטיבית ממנה ביקשה האם לגזור ולהקיש על מנת לייתר ההתייחסות לקצבת הנכות כחלק ממכלול האמצעים העומדים לטובת כיסוי צרכיה של הבת. ברם, באותה הלכת פלונית נקבע עוד ש: </w:t>
      </w:r>
    </w:p>
    <w:p w:rsidR="00D00AE3" w:rsidRDefault="00D00AE3" w:rsidP="00D00AE3">
      <w:pPr>
        <w:pStyle w:val="Ruller5"/>
        <w:spacing w:line="360" w:lineRule="auto"/>
        <w:ind w:left="1502" w:right="0"/>
        <w:rPr>
          <w:rFonts w:ascii="David" w:eastAsiaTheme="minorHAnsi" w:hAnsi="David" w:cs="David"/>
          <w:b/>
          <w:bCs/>
          <w:spacing w:val="0"/>
          <w:sz w:val="24"/>
          <w:szCs w:val="24"/>
          <w:rtl/>
        </w:rPr>
      </w:pPr>
    </w:p>
    <w:p w:rsidR="00D00AE3" w:rsidRDefault="00D00AE3" w:rsidP="00D00AE3">
      <w:pPr>
        <w:pStyle w:val="Ruller5"/>
        <w:spacing w:line="360" w:lineRule="auto"/>
        <w:ind w:left="651" w:right="0"/>
        <w:rPr>
          <w:rFonts w:ascii="David" w:eastAsiaTheme="minorHAnsi" w:hAnsi="David" w:cs="David"/>
          <w:spacing w:val="0"/>
          <w:sz w:val="24"/>
          <w:szCs w:val="24"/>
          <w:rtl/>
        </w:rPr>
      </w:pPr>
      <w:r>
        <w:rPr>
          <w:rFonts w:ascii="David" w:eastAsiaTheme="minorHAnsi" w:hAnsi="David" w:cs="David"/>
          <w:spacing w:val="0"/>
          <w:sz w:val="24"/>
          <w:szCs w:val="24"/>
          <w:rtl/>
        </w:rPr>
        <w:t>"</w:t>
      </w:r>
      <w:r>
        <w:rPr>
          <w:rFonts w:ascii="David" w:eastAsiaTheme="minorHAnsi" w:hAnsi="David" w:cs="David"/>
          <w:b/>
          <w:bCs/>
          <w:spacing w:val="0"/>
          <w:sz w:val="24"/>
          <w:szCs w:val="24"/>
          <w:rtl/>
        </w:rPr>
        <w:t xml:space="preserve">עם זאת, במקרים מהסוג שלפנינו, יש מקום כי בית המשפט לענייני משפחה </w:t>
      </w:r>
      <w:proofErr w:type="spellStart"/>
      <w:r>
        <w:rPr>
          <w:rFonts w:ascii="David" w:eastAsiaTheme="minorHAnsi" w:hAnsi="David" w:cs="David"/>
          <w:b/>
          <w:bCs/>
          <w:spacing w:val="0"/>
          <w:sz w:val="24"/>
          <w:szCs w:val="24"/>
          <w:rtl/>
        </w:rPr>
        <w:t>יתן</w:t>
      </w:r>
      <w:proofErr w:type="spellEnd"/>
      <w:r>
        <w:rPr>
          <w:rFonts w:ascii="David" w:eastAsiaTheme="minorHAnsi" w:hAnsi="David" w:cs="David"/>
          <w:b/>
          <w:bCs/>
          <w:spacing w:val="0"/>
          <w:sz w:val="24"/>
          <w:szCs w:val="24"/>
          <w:rtl/>
        </w:rPr>
        <w:t xml:space="preserve"> את דעתו על העניין בבואו לקבוע את שיעור המזונות, והחלוקה בין ההורים. בחינה נקודתית, בין היתר של האפשרות להקצות את כספי הגמלה לצרכיו המיוחדים של הילד, תוך הפקדת היתרות השוטפות בחשבון ייעודי שיועמד לרשותו בבגרותו ומבלי להפחית בשל כך ממזונותיו השוטפים, עולה בקנה אחד עם הפסיקה הקיימת </w:t>
      </w:r>
      <w:r w:rsidRPr="00364FB3">
        <w:rPr>
          <w:rFonts w:ascii="David" w:eastAsiaTheme="minorHAnsi" w:hAnsi="David" w:cs="David"/>
          <w:b/>
          <w:bCs/>
          <w:spacing w:val="0"/>
          <w:sz w:val="24"/>
          <w:szCs w:val="24"/>
          <w:rtl/>
        </w:rPr>
        <w:t>(</w:t>
      </w:r>
      <w:proofErr w:type="spellStart"/>
      <w:r w:rsidR="00224305">
        <w:fldChar w:fldCharType="begin"/>
      </w:r>
      <w:r w:rsidR="00224305">
        <w:instrText xml:space="preserve"> HYPERLINK "http://www.nevo.co.il/case/25249766" </w:instrText>
      </w:r>
      <w:r w:rsidR="00224305">
        <w:fldChar w:fldCharType="separate"/>
      </w:r>
      <w:r w:rsidRPr="00364FB3">
        <w:rPr>
          <w:rStyle w:val="Hyperlink"/>
          <w:rFonts w:ascii="David" w:eastAsiaTheme="minorHAnsi" w:hAnsi="David" w:cs="David"/>
          <w:b/>
          <w:bCs/>
          <w:spacing w:val="0"/>
          <w:sz w:val="24"/>
          <w:szCs w:val="24"/>
          <w:rtl/>
        </w:rPr>
        <w:t>בע"ם</w:t>
      </w:r>
      <w:proofErr w:type="spellEnd"/>
      <w:r w:rsidRPr="00364FB3">
        <w:rPr>
          <w:rStyle w:val="Hyperlink"/>
          <w:rFonts w:ascii="David" w:eastAsiaTheme="minorHAnsi" w:hAnsi="David" w:cs="David"/>
          <w:b/>
          <w:bCs/>
          <w:spacing w:val="0"/>
          <w:sz w:val="24"/>
          <w:szCs w:val="24"/>
          <w:rtl/>
        </w:rPr>
        <w:t xml:space="preserve"> 8994/18</w:t>
      </w:r>
      <w:r w:rsidR="00224305">
        <w:rPr>
          <w:rStyle w:val="Hyperlink"/>
          <w:rFonts w:ascii="David" w:eastAsiaTheme="minorHAnsi" w:hAnsi="David" w:cs="David"/>
          <w:b/>
          <w:bCs/>
          <w:spacing w:val="0"/>
          <w:sz w:val="24"/>
          <w:szCs w:val="24"/>
        </w:rPr>
        <w:fldChar w:fldCharType="end"/>
      </w:r>
      <w:r w:rsidRPr="00364FB3">
        <w:rPr>
          <w:rFonts w:ascii="David" w:eastAsiaTheme="minorHAnsi" w:hAnsi="David" w:cs="David"/>
          <w:b/>
          <w:bCs/>
          <w:spacing w:val="0"/>
          <w:sz w:val="24"/>
          <w:szCs w:val="24"/>
          <w:rtl/>
        </w:rPr>
        <w:t>, ו</w:t>
      </w:r>
      <w:hyperlink r:id="rId5" w:history="1">
        <w:r w:rsidRPr="00364FB3">
          <w:rPr>
            <w:rStyle w:val="Hyperlink"/>
            <w:rFonts w:ascii="David" w:eastAsiaTheme="minorHAnsi" w:hAnsi="David" w:cs="David" w:hint="cs"/>
            <w:b/>
            <w:bCs/>
            <w:spacing w:val="0"/>
            <w:sz w:val="24"/>
            <w:szCs w:val="24"/>
            <w:rtl/>
          </w:rPr>
          <w:t>בג"ץ 448/21</w:t>
        </w:r>
      </w:hyperlink>
      <w:r w:rsidRPr="00364FB3">
        <w:rPr>
          <w:rFonts w:ascii="David" w:eastAsiaTheme="minorHAnsi" w:hAnsi="David" w:cs="David"/>
          <w:b/>
          <w:bCs/>
          <w:spacing w:val="0"/>
          <w:sz w:val="24"/>
          <w:szCs w:val="24"/>
          <w:rtl/>
        </w:rPr>
        <w:t xml:space="preserve"> </w:t>
      </w:r>
      <w:r>
        <w:rPr>
          <w:rFonts w:ascii="David" w:eastAsiaTheme="minorHAnsi" w:hAnsi="David" w:cs="David"/>
          <w:b/>
          <w:bCs/>
          <w:spacing w:val="0"/>
          <w:sz w:val="24"/>
          <w:szCs w:val="24"/>
          <w:rtl/>
        </w:rPr>
        <w:t>שהוזכרו לעיל). סבורני כי הערכאה המבררת – שברגיל מזמינה עדים, ובוחנת ראיות – היא הפורום המתאים לשמור על טובת הילד, ולמנוע מצב שבו הורה שהכנסתו גבוהה יחסית לא יידרש לשאת במזונותיו, בהסתמך על גמלה שנועדה לספק את צרכיו הייעודיים של ילד עם מוגבלות. ישנם פתרונות שונים למצב כזה, וחזקה כי בית המשפט לענייני משפחה יכריע בעניין, תוך רגישות לשיקולים השונים</w:t>
      </w:r>
      <w:r>
        <w:rPr>
          <w:rFonts w:ascii="David" w:hAnsi="David" w:cs="David"/>
          <w:sz w:val="24"/>
          <w:szCs w:val="24"/>
          <w:rtl/>
        </w:rPr>
        <w:t>.</w:t>
      </w:r>
      <w:r>
        <w:rPr>
          <w:rFonts w:ascii="David" w:eastAsiaTheme="minorHAnsi" w:hAnsi="David" w:cs="David"/>
          <w:spacing w:val="0"/>
          <w:sz w:val="24"/>
          <w:szCs w:val="24"/>
          <w:rtl/>
        </w:rPr>
        <w:t>"</w:t>
      </w:r>
    </w:p>
    <w:p w:rsidR="00D00AE3" w:rsidRDefault="00D00AE3" w:rsidP="00D00AE3">
      <w:pPr>
        <w:pStyle w:val="Ruller5"/>
        <w:spacing w:line="360" w:lineRule="auto"/>
        <w:ind w:left="651" w:right="0"/>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10.</w:t>
      </w:r>
      <w:r>
        <w:rPr>
          <w:rFonts w:ascii="David" w:eastAsiaTheme="minorHAnsi" w:hAnsi="David" w:cs="David"/>
          <w:spacing w:val="0"/>
          <w:sz w:val="24"/>
          <w:szCs w:val="24"/>
          <w:rtl/>
        </w:rPr>
        <w:tab/>
        <w:t>עובדות המקרה בהלכת פלונית שונות מהמקרה שלפני אך לא רק בכך העניין. במקרה שלפני אין בידי נתונים כלשהו ואלו לא סופקו על מנת לנסות להבין את השימוש בסכומים, גם לאור טיעוני המבקשת, אשר נועדו לשרת את צרכי הבת. די בכך, כאמור, שהאם טענה שחלק מסכום הקצבה נועד לשרת את צרכיה שלה במאובחן מהבת וכלשונה: "</w:t>
      </w:r>
      <w:r>
        <w:rPr>
          <w:rFonts w:ascii="David" w:hAnsi="David" w:cs="David"/>
          <w:b/>
          <w:bCs/>
          <w:sz w:val="24"/>
          <w:szCs w:val="24"/>
          <w:rtl/>
        </w:rPr>
        <w:t>במצב דברים זה, אני נאלצת כיום לעשות שימוש גם בכספי הקצבה לצורך כיסוי הוצאות המחיה השוטפות עבורי ועבור הקטינה"</w:t>
      </w:r>
      <w:r>
        <w:rPr>
          <w:rFonts w:ascii="David" w:eastAsiaTheme="minorHAnsi" w:hAnsi="David" w:cs="David"/>
          <w:spacing w:val="0"/>
          <w:sz w:val="24"/>
          <w:szCs w:val="24"/>
          <w:rtl/>
        </w:rPr>
        <w:t xml:space="preserve"> (ס' 15 לתצהיר) וללא קשר לצורכי הבת באופן עקיף </w:t>
      </w:r>
      <w:r>
        <w:rPr>
          <w:rFonts w:ascii="David" w:eastAsiaTheme="minorHAnsi" w:hAnsi="David" w:cs="David"/>
          <w:spacing w:val="0"/>
          <w:sz w:val="24"/>
          <w:szCs w:val="24"/>
          <w:rtl/>
        </w:rPr>
        <w:lastRenderedPageBreak/>
        <w:t xml:space="preserve">או ישיר כדי לדחות </w:t>
      </w:r>
      <w:r>
        <w:rPr>
          <w:rFonts w:ascii="David" w:eastAsiaTheme="minorHAnsi" w:hAnsi="David" w:cs="David" w:hint="cs"/>
          <w:spacing w:val="0"/>
          <w:sz w:val="24"/>
          <w:szCs w:val="24"/>
          <w:rtl/>
        </w:rPr>
        <w:t xml:space="preserve">את </w:t>
      </w:r>
      <w:r>
        <w:rPr>
          <w:rFonts w:ascii="David" w:eastAsiaTheme="minorHAnsi" w:hAnsi="David" w:cs="David"/>
          <w:spacing w:val="0"/>
          <w:sz w:val="24"/>
          <w:szCs w:val="24"/>
          <w:rtl/>
        </w:rPr>
        <w:t>הבקשה. לא בחלל ריק נאמרים הדברים והם עולים דווקא מהלכת פלונית אליה הפנתה האם והובאו לעיל.</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rPr>
          <w:rFonts w:ascii="David" w:eastAsiaTheme="minorHAnsi" w:hAnsi="David" w:cs="David"/>
          <w:spacing w:val="0"/>
          <w:sz w:val="24"/>
          <w:szCs w:val="24"/>
          <w:rtl/>
        </w:rPr>
      </w:pPr>
      <w:r>
        <w:rPr>
          <w:rFonts w:ascii="David" w:eastAsiaTheme="minorHAnsi" w:hAnsi="David" w:cs="David" w:hint="cs"/>
          <w:spacing w:val="0"/>
          <w:sz w:val="24"/>
          <w:szCs w:val="24"/>
          <w:rtl/>
        </w:rPr>
        <w:t xml:space="preserve">מבלי לגרוע באמור יודגש שלא ניתן </w:t>
      </w:r>
      <w:r>
        <w:rPr>
          <w:rFonts w:ascii="David" w:eastAsiaTheme="minorHAnsi" w:hAnsi="David" w:cs="David"/>
          <w:spacing w:val="0"/>
          <w:sz w:val="24"/>
          <w:szCs w:val="24"/>
          <w:rtl/>
        </w:rPr>
        <w:t>לקבל את המשתמע מפרשנותה של האם להלכת פלונית שמניחה שהיא רשאית לעשות שימוש בקצבת הנכות של הבת כראות עיניה, כהבנתה הבלעדית מה משרת בעקיפין את צרכי הבת וזאת ללא פיקוח של בית המשפט, ללא דיווח לבית  המשפט שיבחן את מכלול צרכי הבת אל מול כלל המקורות שעומדים לרשותה (כך למשל אולי טובתה של הבת להשתמש בחלק מהסכום לחיסכון לעתידה). פרשנות זו עומדת בסתירה מוחלטת למטרות ההענקה ולהלכת פלונית הנ"ל.</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11.</w:t>
      </w:r>
      <w:r>
        <w:rPr>
          <w:rFonts w:ascii="David" w:eastAsiaTheme="minorHAnsi" w:hAnsi="David" w:cs="David"/>
          <w:spacing w:val="0"/>
          <w:sz w:val="24"/>
          <w:szCs w:val="24"/>
          <w:rtl/>
        </w:rPr>
        <w:tab/>
        <w:t>בטרם נעילה יובהר שבשאלת המזונות הזמניים התקיים לפני דיון ביום 26/6/23</w:t>
      </w:r>
      <w:r>
        <w:rPr>
          <w:rFonts w:ascii="David" w:eastAsiaTheme="minorHAnsi" w:hAnsi="David" w:cs="David" w:hint="cs"/>
          <w:spacing w:val="0"/>
          <w:sz w:val="24"/>
          <w:szCs w:val="24"/>
          <w:rtl/>
        </w:rPr>
        <w:t xml:space="preserve">. ככלל שבה האם על טיעוניה שעלו בתצהירה </w:t>
      </w:r>
      <w:r>
        <w:rPr>
          <w:rFonts w:ascii="David" w:eastAsiaTheme="minorHAnsi" w:hAnsi="David" w:cs="David"/>
          <w:spacing w:val="0"/>
          <w:sz w:val="24"/>
          <w:szCs w:val="24"/>
          <w:rtl/>
        </w:rPr>
        <w:t>ולא מצאתי להרחיב בכך מעבר לאמור בתצהיר</w:t>
      </w:r>
      <w:r>
        <w:rPr>
          <w:rFonts w:ascii="David" w:eastAsiaTheme="minorHAnsi" w:hAnsi="David" w:cs="David" w:hint="cs"/>
          <w:spacing w:val="0"/>
          <w:sz w:val="24"/>
          <w:szCs w:val="24"/>
          <w:rtl/>
        </w:rPr>
        <w:t>ה</w:t>
      </w:r>
      <w:r>
        <w:rPr>
          <w:rFonts w:ascii="David" w:eastAsiaTheme="minorHAnsi" w:hAnsi="David" w:cs="David"/>
          <w:spacing w:val="0"/>
          <w:sz w:val="24"/>
          <w:szCs w:val="24"/>
          <w:rtl/>
        </w:rPr>
        <w:t>.</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11.</w:t>
      </w:r>
      <w:r>
        <w:rPr>
          <w:rFonts w:ascii="David" w:eastAsiaTheme="minorHAnsi" w:hAnsi="David" w:cs="David"/>
          <w:spacing w:val="0"/>
          <w:sz w:val="24"/>
          <w:szCs w:val="24"/>
          <w:rtl/>
        </w:rPr>
        <w:tab/>
        <w:t>בנסיבות אלו בשים לב למובא ולאמור אני מורה על מחיקת הבקשה.</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 xml:space="preserve">12. </w:t>
      </w:r>
      <w:r>
        <w:rPr>
          <w:rFonts w:ascii="David" w:eastAsiaTheme="minorHAnsi" w:hAnsi="David" w:cs="David"/>
          <w:spacing w:val="0"/>
          <w:sz w:val="24"/>
          <w:szCs w:val="24"/>
          <w:rtl/>
        </w:rPr>
        <w:tab/>
        <w:t>ככל שתסבור האם שברצונה להגיש בקשה מחודשת רשאית היא לעשות כן  אך</w:t>
      </w:r>
      <w:r>
        <w:rPr>
          <w:rFonts w:ascii="David" w:eastAsiaTheme="minorHAnsi" w:hAnsi="David" w:cs="David" w:hint="cs"/>
          <w:spacing w:val="0"/>
          <w:sz w:val="24"/>
          <w:szCs w:val="24"/>
          <w:rtl/>
        </w:rPr>
        <w:t xml:space="preserve">  בזו הפעם </w:t>
      </w:r>
      <w:r>
        <w:rPr>
          <w:rFonts w:ascii="David" w:eastAsiaTheme="minorHAnsi" w:hAnsi="David" w:cs="David"/>
          <w:spacing w:val="0"/>
          <w:sz w:val="24"/>
          <w:szCs w:val="24"/>
          <w:rtl/>
        </w:rPr>
        <w:t xml:space="preserve"> כפי הנדרש עם פרוט הסכומים באופן מדויק  ולא באמירות בעלמא שאין בהן כדי להציג התמונה לפני בית המשפט כפי שראוי שתוגש בקשה.</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rPr>
          <w:rFonts w:ascii="David" w:eastAsiaTheme="minorHAnsi" w:hAnsi="David" w:cs="David"/>
          <w:spacing w:val="0"/>
          <w:sz w:val="24"/>
          <w:szCs w:val="24"/>
          <w:rtl/>
        </w:rPr>
      </w:pPr>
      <w:r>
        <w:rPr>
          <w:rFonts w:ascii="David" w:eastAsiaTheme="minorHAnsi" w:hAnsi="David" w:cs="David"/>
          <w:spacing w:val="0"/>
          <w:sz w:val="24"/>
          <w:szCs w:val="24"/>
          <w:rtl/>
        </w:rPr>
        <w:t xml:space="preserve">אחרת, התמונה המתקבלת היא שימוש בכספי הקצבה לצרכיה שלה במנותק  מצרכי הבת, </w:t>
      </w:r>
      <w:r>
        <w:rPr>
          <w:rFonts w:ascii="David" w:eastAsiaTheme="minorHAnsi" w:hAnsi="David" w:cs="David" w:hint="cs"/>
          <w:spacing w:val="0"/>
          <w:sz w:val="24"/>
          <w:szCs w:val="24"/>
          <w:rtl/>
        </w:rPr>
        <w:t xml:space="preserve">(גם בעקיפין) </w:t>
      </w:r>
      <w:r>
        <w:rPr>
          <w:rFonts w:ascii="David" w:eastAsiaTheme="minorHAnsi" w:hAnsi="David" w:cs="David"/>
          <w:spacing w:val="0"/>
          <w:sz w:val="24"/>
          <w:szCs w:val="24"/>
          <w:rtl/>
        </w:rPr>
        <w:t>מעין 'השלמת הכנסה' ודומני שלא לכך כיוון המחוקק ובוודאי שלא הלכת פלונית עליה הסתמכה האם.</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13.</w:t>
      </w:r>
      <w:r>
        <w:rPr>
          <w:rFonts w:ascii="David" w:eastAsiaTheme="minorHAnsi" w:hAnsi="David" w:cs="David"/>
          <w:spacing w:val="0"/>
          <w:sz w:val="24"/>
          <w:szCs w:val="24"/>
          <w:rtl/>
        </w:rPr>
        <w:tab/>
        <w:t>מתיר פרסום ההחלטה בהשמטת פרטים מזהים.</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14.</w:t>
      </w:r>
      <w:r>
        <w:rPr>
          <w:rFonts w:ascii="David" w:eastAsiaTheme="minorHAnsi" w:hAnsi="David" w:cs="David"/>
          <w:spacing w:val="0"/>
          <w:sz w:val="24"/>
          <w:szCs w:val="24"/>
          <w:rtl/>
        </w:rPr>
        <w:tab/>
        <w:t xml:space="preserve">חרף התוצאה אליה הגעתי אין צו להוצאות. </w:t>
      </w:r>
    </w:p>
    <w:p w:rsidR="00D00AE3" w:rsidRDefault="00D00AE3" w:rsidP="00D00AE3">
      <w:pPr>
        <w:pStyle w:val="Ruller5"/>
        <w:spacing w:line="360" w:lineRule="auto"/>
        <w:ind w:left="651" w:right="0" w:hanging="567"/>
        <w:rPr>
          <w:rFonts w:ascii="David" w:eastAsiaTheme="minorHAnsi" w:hAnsi="David" w:cs="David"/>
          <w:spacing w:val="0"/>
          <w:sz w:val="24"/>
          <w:szCs w:val="24"/>
          <w:rtl/>
        </w:rPr>
      </w:pPr>
    </w:p>
    <w:p w:rsidR="00D00AE3" w:rsidRDefault="00D00AE3" w:rsidP="00D00AE3">
      <w:pPr>
        <w:pStyle w:val="Ruller5"/>
        <w:spacing w:line="360" w:lineRule="auto"/>
        <w:ind w:left="651" w:right="0" w:hanging="567"/>
        <w:rPr>
          <w:rFonts w:ascii="David" w:eastAsiaTheme="minorHAnsi" w:hAnsi="David" w:cs="David"/>
          <w:spacing w:val="0"/>
          <w:sz w:val="24"/>
          <w:szCs w:val="24"/>
          <w:rtl/>
        </w:rPr>
      </w:pPr>
      <w:r>
        <w:rPr>
          <w:rFonts w:ascii="David" w:eastAsiaTheme="minorHAnsi" w:hAnsi="David" w:cs="David"/>
          <w:spacing w:val="0"/>
          <w:sz w:val="24"/>
          <w:szCs w:val="24"/>
          <w:rtl/>
        </w:rPr>
        <w:t>15.</w:t>
      </w:r>
      <w:r>
        <w:rPr>
          <w:rFonts w:ascii="David" w:eastAsiaTheme="minorHAnsi" w:hAnsi="David" w:cs="David"/>
          <w:spacing w:val="0"/>
          <w:sz w:val="24"/>
          <w:szCs w:val="24"/>
          <w:rtl/>
        </w:rPr>
        <w:tab/>
        <w:t>תואיל המזכירות לשלוח ההחלטה לצדדים ולסגור הבקשה.</w:t>
      </w:r>
    </w:p>
    <w:p w:rsidR="00D00AE3" w:rsidRDefault="00D00AE3" w:rsidP="00D00AE3">
      <w:pPr>
        <w:pStyle w:val="Ruller5"/>
        <w:spacing w:line="360" w:lineRule="auto"/>
        <w:ind w:left="1502" w:right="0"/>
        <w:rPr>
          <w:rFonts w:ascii="David" w:eastAsiaTheme="minorHAnsi" w:hAnsi="David" w:cs="David"/>
          <w:b/>
          <w:bCs/>
          <w:spacing w:val="0"/>
          <w:sz w:val="24"/>
          <w:szCs w:val="24"/>
          <w:rtl/>
        </w:rPr>
      </w:pPr>
    </w:p>
    <w:p w:rsidR="00D00AE3" w:rsidRPr="00DE1E7D" w:rsidRDefault="00D00AE3" w:rsidP="00D00AE3">
      <w:pPr>
        <w:spacing w:line="360" w:lineRule="auto"/>
        <w:jc w:val="both"/>
        <w:rPr>
          <w:rFonts w:ascii="Arial" w:hAnsi="Arial"/>
          <w:noProof w:val="0"/>
          <w:rtl/>
        </w:rPr>
      </w:pPr>
    </w:p>
    <w:p w:rsidR="00D00AE3" w:rsidRPr="00DE1E7D" w:rsidRDefault="00D00AE3" w:rsidP="00D00AE3">
      <w:pPr>
        <w:spacing w:line="360" w:lineRule="auto"/>
        <w:jc w:val="both"/>
        <w:rPr>
          <w:rFonts w:ascii="Arial" w:hAnsi="Arial"/>
          <w:noProof w:val="0"/>
          <w:rtl/>
        </w:rPr>
      </w:pPr>
    </w:p>
    <w:p w:rsidR="00D00AE3" w:rsidRDefault="00D00AE3" w:rsidP="00D00AE3">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יולי 2023</w:t>
          </w:r>
        </w:sdtContent>
      </w:sdt>
      <w:r>
        <w:rPr>
          <w:rFonts w:ascii="Arial" w:hAnsi="Arial"/>
          <w:noProof w:val="0"/>
          <w:rtl/>
        </w:rPr>
        <w:t>, בהעדר הצדדים.</w:t>
      </w:r>
    </w:p>
    <w:p w:rsidR="00D00AE3" w:rsidRDefault="00224305" w:rsidP="00D00AE3">
      <w:pPr>
        <w:tabs>
          <w:tab w:val="left" w:pos="2553"/>
        </w:tabs>
        <w:ind w:left="5040"/>
        <w:rPr>
          <w:rtl/>
        </w:rPr>
      </w:pPr>
      <w:sdt>
        <w:sdtPr>
          <w:rPr>
            <w:rFonts w:hint="cs"/>
            <w:rtl/>
          </w:rPr>
          <w:alias w:val="2045"/>
          <w:tag w:val="2045"/>
          <w:id w:val="740689340"/>
          <w:placeholder>
            <w:docPart w:val="E57F404BA0AE48CAB69F456CED862D30"/>
          </w:placeholder>
          <w:showingPlcHdr/>
          <w:text w:multiLine="1"/>
        </w:sdtPr>
        <w:sdtEndPr/>
        <w:sdtContent>
          <w:r w:rsidR="00D00AE3">
            <w:rPr>
              <w:rFonts w:hint="cs"/>
              <w:rtl/>
            </w:rPr>
            <w:t xml:space="preserve">     </w:t>
          </w:r>
        </w:sdtContent>
      </w:sdt>
    </w:p>
    <w:p w:rsidR="00D00AE3" w:rsidRDefault="00D00AE3" w:rsidP="00D00AE3">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66296771"/>
        </w:sdtPr>
        <w:sdtEndPr/>
        <w:sdtContent>
          <w:r>
            <w:drawing>
              <wp:inline distT="0" distB="0" distL="0" distR="0" wp14:anchorId="1F94A9BF" wp14:editId="2540CF8B">
                <wp:extent cx="1581150"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581150" cy="1009649"/>
                        </a:xfrm>
                        <a:prstGeom prst="rect">
                          <a:avLst/>
                        </a:prstGeom>
                      </pic:spPr>
                    </pic:pic>
                  </a:graphicData>
                </a:graphic>
              </wp:inline>
            </w:drawing>
          </w:r>
        </w:sdtContent>
      </w:sdt>
    </w:p>
    <w:p w:rsidR="00D00AE3" w:rsidRDefault="00D00AE3" w:rsidP="00D00AE3">
      <w:pPr>
        <w:tabs>
          <w:tab w:val="left" w:pos="2553"/>
        </w:tabs>
        <w:rPr>
          <w:rFonts w:ascii="Arial" w:hAnsi="Arial"/>
          <w:noProof w:val="0"/>
          <w:rtl/>
        </w:rPr>
      </w:pPr>
    </w:p>
    <w:p w:rsidR="00574B4F" w:rsidRDefault="00574B4F"/>
    <w:sectPr w:rsidR="00574B4F"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AE3"/>
    <w:rsid w:val="00053488"/>
    <w:rsid w:val="00224305"/>
    <w:rsid w:val="00574B4F"/>
    <w:rsid w:val="00C11DC6"/>
    <w:rsid w:val="00D00AE3"/>
    <w:rsid w:val="00F824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BFD6A0-28DA-4993-A669-A8C829E59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AE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00AE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ler4">
    <w:name w:val="Ruller4"/>
    <w:basedOn w:val="a"/>
    <w:rsid w:val="00D00AE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D00AE3"/>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D00AE3"/>
    <w:rPr>
      <w:color w:val="0000FF"/>
      <w:u w:val="single"/>
    </w:rPr>
  </w:style>
  <w:style w:type="paragraph" w:styleId="a4">
    <w:name w:val="header"/>
    <w:basedOn w:val="a"/>
    <w:link w:val="a5"/>
    <w:rsid w:val="00D00AE3"/>
    <w:pPr>
      <w:tabs>
        <w:tab w:val="center" w:pos="4153"/>
        <w:tab w:val="right" w:pos="8306"/>
      </w:tabs>
    </w:pPr>
  </w:style>
  <w:style w:type="character" w:customStyle="1" w:styleId="a5">
    <w:name w:val="כותרת עליונה תו"/>
    <w:basedOn w:val="a0"/>
    <w:link w:val="a4"/>
    <w:rsid w:val="00D00AE3"/>
    <w:rPr>
      <w:rFonts w:ascii="Times New Roman" w:eastAsia="Times New Roman" w:hAnsi="Times New Roman" w:cs="David"/>
      <w:noProof/>
      <w:sz w:val="24"/>
      <w:szCs w:val="24"/>
    </w:rPr>
  </w:style>
  <w:style w:type="paragraph" w:styleId="NormalWeb">
    <w:name w:val="Normal (Web)"/>
    <w:basedOn w:val="a"/>
    <w:uiPriority w:val="99"/>
    <w:semiHidden/>
    <w:unhideWhenUsed/>
    <w:rsid w:val="00D00AE3"/>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F8243E"/>
    <w:rPr>
      <w:rFonts w:ascii="Tahoma" w:hAnsi="Tahoma" w:cs="Tahoma"/>
      <w:sz w:val="18"/>
      <w:szCs w:val="18"/>
    </w:rPr>
  </w:style>
  <w:style w:type="character" w:customStyle="1" w:styleId="a7">
    <w:name w:val="טקסט בלונים תו"/>
    <w:basedOn w:val="a0"/>
    <w:link w:val="a6"/>
    <w:uiPriority w:val="99"/>
    <w:semiHidden/>
    <w:rsid w:val="00F8243E"/>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hyperlink" Target="http://www.nevo.co.il/case/27343386"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7F404BA0AE48CAB69F456CED862D30"/>
        <w:category>
          <w:name w:val="כללי"/>
          <w:gallery w:val="placeholder"/>
        </w:category>
        <w:types>
          <w:type w:val="bbPlcHdr"/>
        </w:types>
        <w:behaviors>
          <w:behavior w:val="content"/>
        </w:behaviors>
        <w:guid w:val="{D3CB1296-1283-481C-B080-34DC1066E7B2}"/>
      </w:docPartPr>
      <w:docPartBody>
        <w:p w:rsidR="00514EB1" w:rsidRDefault="005D7B24" w:rsidP="005D7B24">
          <w:pPr>
            <w:pStyle w:val="E57F404BA0AE48CAB69F456CED862D3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B24"/>
    <w:rsid w:val="002B5723"/>
    <w:rsid w:val="00514EB1"/>
    <w:rsid w:val="005D7B24"/>
    <w:rsid w:val="00A860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57F404BA0AE48CAB69F456CED862D30">
    <w:name w:val="E57F404BA0AE48CAB69F456CED862D30"/>
    <w:rsid w:val="005D7B2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7378</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2023-07-26T06:30:00Z</cp:lastPrinted>
  <dcterms:created xsi:type="dcterms:W3CDTF">2023-07-30T11:03:00Z</dcterms:created>
  <dcterms:modified xsi:type="dcterms:W3CDTF">2023-07-30T11:03:00Z</dcterms:modified>
</cp:coreProperties>
</file>